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eastAsia="黑体"/>
          <w:color w:val="auto"/>
          <w:sz w:val="52"/>
          <w:szCs w:val="52"/>
        </w:rPr>
      </w:pPr>
    </w:p>
    <w:p>
      <w:pPr>
        <w:jc w:val="center"/>
        <w:rPr>
          <w:rFonts w:hint="eastAsia" w:ascii="黑体" w:eastAsia="黑体"/>
          <w:color w:val="auto"/>
          <w:sz w:val="52"/>
          <w:szCs w:val="52"/>
        </w:rPr>
      </w:pPr>
    </w:p>
    <w:p>
      <w:pPr>
        <w:spacing w:line="360" w:lineRule="auto"/>
        <w:jc w:val="center"/>
        <w:rPr>
          <w:rFonts w:hint="eastAsia" w:ascii="华康简标题宋" w:eastAsia="华康简标题宋"/>
          <w:b/>
          <w:bCs/>
          <w:color w:val="auto"/>
          <w:sz w:val="84"/>
        </w:rPr>
      </w:pPr>
      <w:r>
        <w:rPr>
          <w:rFonts w:hint="eastAsia" w:ascii="华康简标题宋" w:eastAsia="华康简标题宋"/>
          <w:b/>
          <w:bCs/>
          <w:color w:val="auto"/>
          <w:sz w:val="84"/>
        </w:rPr>
        <w:t xml:space="preserve">采  购 </w:t>
      </w:r>
      <w:r>
        <w:rPr>
          <w:rFonts w:ascii="华康简标题宋" w:eastAsia="华康简标题宋"/>
          <w:b/>
          <w:bCs/>
          <w:color w:val="auto"/>
          <w:sz w:val="84"/>
        </w:rPr>
        <w:t xml:space="preserve"> </w:t>
      </w:r>
      <w:r>
        <w:rPr>
          <w:rFonts w:hint="eastAsia" w:ascii="华康简标题宋" w:eastAsia="华康简标题宋"/>
          <w:b/>
          <w:bCs/>
          <w:color w:val="auto"/>
          <w:sz w:val="84"/>
        </w:rPr>
        <w:t xml:space="preserve">文 </w:t>
      </w:r>
      <w:r>
        <w:rPr>
          <w:rFonts w:ascii="华康简标题宋" w:eastAsia="华康简标题宋"/>
          <w:b/>
          <w:bCs/>
          <w:color w:val="auto"/>
          <w:sz w:val="84"/>
        </w:rPr>
        <w:t xml:space="preserve"> </w:t>
      </w:r>
      <w:r>
        <w:rPr>
          <w:rFonts w:hint="eastAsia" w:ascii="华康简标题宋" w:eastAsia="华康简标题宋"/>
          <w:b/>
          <w:bCs/>
          <w:color w:val="auto"/>
          <w:sz w:val="84"/>
        </w:rPr>
        <w:t>件</w:t>
      </w:r>
    </w:p>
    <w:p>
      <w:pPr>
        <w:rPr>
          <w:rFonts w:hint="eastAsia" w:ascii="黑体" w:eastAsia="黑体"/>
          <w:color w:val="auto"/>
          <w:sz w:val="52"/>
          <w:szCs w:val="52"/>
        </w:rPr>
      </w:pPr>
    </w:p>
    <w:p>
      <w:pPr>
        <w:ind w:firstLine="964" w:firstLineChars="200"/>
        <w:jc w:val="center"/>
        <w:rPr>
          <w:rFonts w:hint="eastAsia" w:ascii="宋体" w:hAnsi="宋体" w:cs="宋体"/>
          <w:b/>
          <w:color w:val="auto"/>
          <w:sz w:val="48"/>
        </w:rPr>
      </w:pPr>
      <w:r>
        <w:rPr>
          <w:rFonts w:hint="eastAsia" w:ascii="宋体" w:hAnsi="宋体" w:cs="宋体"/>
          <w:b/>
          <w:color w:val="auto"/>
          <w:sz w:val="48"/>
        </w:rPr>
        <w:t>广东省东莞市城区配套物流仓储建设项目-</w:t>
      </w:r>
      <w:r>
        <w:rPr>
          <w:rFonts w:hint="eastAsia" w:ascii="宋体" w:hAnsi="宋体" w:cs="宋体"/>
          <w:b/>
          <w:color w:val="auto"/>
          <w:sz w:val="48"/>
          <w:lang w:val="en-US" w:eastAsia="zh-CN"/>
        </w:rPr>
        <w:t>生活区</w:t>
      </w:r>
      <w:r>
        <w:rPr>
          <w:rFonts w:hint="eastAsia" w:ascii="宋体" w:hAnsi="宋体" w:cs="宋体"/>
          <w:b/>
          <w:color w:val="auto"/>
          <w:sz w:val="48"/>
        </w:rPr>
        <w:t>临建工程</w:t>
      </w:r>
    </w:p>
    <w:p>
      <w:pPr>
        <w:jc w:val="center"/>
        <w:rPr>
          <w:rFonts w:hint="eastAsia" w:ascii="仿宋_GB2312" w:hAnsi="宋体" w:eastAsia="仿宋_GB2312"/>
          <w:bCs/>
          <w:color w:val="auto"/>
          <w:sz w:val="32"/>
        </w:rPr>
      </w:pPr>
    </w:p>
    <w:p>
      <w:pPr>
        <w:jc w:val="center"/>
        <w:rPr>
          <w:rFonts w:hint="eastAsia" w:ascii="仿宋_GB2312" w:hAnsi="宋体" w:eastAsia="仿宋_GB2312"/>
          <w:bCs/>
          <w:color w:val="auto"/>
          <w:sz w:val="32"/>
          <w:u w:val="single"/>
        </w:rPr>
      </w:pPr>
      <w:r>
        <w:rPr>
          <w:rFonts w:hint="eastAsia" w:ascii="仿宋_GB2312" w:hAnsi="宋体" w:eastAsia="仿宋_GB2312"/>
          <w:bCs/>
          <w:color w:val="auto"/>
          <w:sz w:val="32"/>
        </w:rPr>
        <w:t>项目编号：</w:t>
      </w:r>
      <w:r>
        <w:rPr>
          <w:rFonts w:hint="eastAsia" w:ascii="仿宋_GB2312" w:hAnsi="宋体" w:eastAsia="仿宋_GB2312"/>
          <w:bCs/>
          <w:color w:val="auto"/>
          <w:sz w:val="32"/>
          <w:u w:val="single"/>
        </w:rPr>
        <w:t xml:space="preserve"> ZBCG-202</w:t>
      </w:r>
      <w:r>
        <w:rPr>
          <w:rFonts w:hint="eastAsia" w:ascii="仿宋_GB2312" w:hAnsi="宋体" w:eastAsia="仿宋_GB2312"/>
          <w:bCs/>
          <w:color w:val="auto"/>
          <w:sz w:val="32"/>
          <w:u w:val="single"/>
          <w:lang w:val="en-US" w:eastAsia="zh-CN"/>
        </w:rPr>
        <w:t>3</w:t>
      </w:r>
      <w:r>
        <w:rPr>
          <w:rFonts w:hint="eastAsia" w:ascii="仿宋_GB2312" w:hAnsi="宋体" w:eastAsia="仿宋_GB2312"/>
          <w:bCs/>
          <w:color w:val="auto"/>
          <w:sz w:val="32"/>
          <w:u w:val="single"/>
        </w:rPr>
        <w:t>-</w:t>
      </w:r>
      <w:r>
        <w:rPr>
          <w:rFonts w:hint="eastAsia" w:ascii="仿宋_GB2312" w:hAnsi="宋体" w:eastAsia="仿宋_GB2312"/>
          <w:bCs/>
          <w:color w:val="auto"/>
          <w:sz w:val="32"/>
          <w:u w:val="single"/>
          <w:lang w:val="en-US" w:eastAsia="zh-CN"/>
        </w:rPr>
        <w:t>5</w:t>
      </w:r>
      <w:r>
        <w:rPr>
          <w:rFonts w:hint="eastAsia" w:ascii="仿宋_GB2312" w:hAnsi="宋体" w:eastAsia="仿宋_GB2312"/>
          <w:bCs/>
          <w:color w:val="auto"/>
          <w:sz w:val="32"/>
          <w:u w:val="single"/>
          <w:lang w:val="en-US" w:eastAsia="zh-CN"/>
        </w:rPr>
        <w:t>4</w:t>
      </w:r>
      <w:r>
        <w:rPr>
          <w:rFonts w:hint="eastAsia" w:ascii="仿宋_GB2312" w:hAnsi="宋体" w:eastAsia="仿宋_GB2312"/>
          <w:bCs/>
          <w:color w:val="auto"/>
          <w:sz w:val="32"/>
          <w:u w:val="single"/>
        </w:rPr>
        <w:t xml:space="preserve"> </w:t>
      </w:r>
    </w:p>
    <w:p>
      <w:pPr>
        <w:rPr>
          <w:rFonts w:hint="eastAsia" w:ascii="黑体" w:eastAsia="黑体"/>
          <w:color w:val="auto"/>
          <w:sz w:val="36"/>
          <w:szCs w:val="36"/>
        </w:rPr>
      </w:pPr>
      <w:r>
        <w:rPr>
          <w:rFonts w:hint="eastAsia" w:ascii="黑体" w:eastAsia="黑体"/>
          <w:color w:val="auto"/>
          <w:sz w:val="36"/>
          <w:szCs w:val="36"/>
        </w:rPr>
        <w:t xml:space="preserve"> </w:t>
      </w:r>
    </w:p>
    <w:p>
      <w:pPr>
        <w:spacing w:line="360" w:lineRule="auto"/>
        <w:jc w:val="center"/>
        <w:rPr>
          <w:rFonts w:hint="eastAsia"/>
          <w:color w:val="auto"/>
        </w:rPr>
      </w:pPr>
      <w:r>
        <w:rPr>
          <w:color w:val="auto"/>
        </w:rPr>
        <w:drawing>
          <wp:inline distT="0" distB="0" distL="114300" distR="114300">
            <wp:extent cx="1612900" cy="1616710"/>
            <wp:effectExtent l="0" t="0" r="6350" b="2540"/>
            <wp:docPr id="1" name="Picture 1" descr="莞建标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莞建标志"/>
                    <pic:cNvPicPr>
                      <a:picLocks noChangeAspect="1"/>
                    </pic:cNvPicPr>
                  </pic:nvPicPr>
                  <pic:blipFill>
                    <a:blip r:embed="rId5"/>
                    <a:stretch>
                      <a:fillRect/>
                    </a:stretch>
                  </pic:blipFill>
                  <pic:spPr>
                    <a:xfrm>
                      <a:off x="0" y="0"/>
                      <a:ext cx="1612900" cy="1616710"/>
                    </a:xfrm>
                    <a:prstGeom prst="rect">
                      <a:avLst/>
                    </a:prstGeom>
                    <a:noFill/>
                    <a:ln>
                      <a:noFill/>
                    </a:ln>
                  </pic:spPr>
                </pic:pic>
              </a:graphicData>
            </a:graphic>
          </wp:inline>
        </w:drawing>
      </w:r>
    </w:p>
    <w:p>
      <w:pPr>
        <w:spacing w:line="360" w:lineRule="auto"/>
        <w:rPr>
          <w:rFonts w:hint="eastAsia" w:ascii="仿宋_GB2312" w:hAnsi="宋体" w:eastAsia="仿宋_GB2312"/>
          <w:bCs/>
          <w:color w:val="auto"/>
          <w:sz w:val="32"/>
        </w:rPr>
      </w:pPr>
    </w:p>
    <w:p>
      <w:pPr>
        <w:spacing w:line="360" w:lineRule="auto"/>
        <w:rPr>
          <w:rFonts w:hint="eastAsia" w:ascii="仿宋_GB2312" w:hAnsi="宋体" w:eastAsia="仿宋_GB2312"/>
          <w:bCs/>
          <w:color w:val="auto"/>
          <w:sz w:val="32"/>
        </w:rPr>
      </w:pPr>
    </w:p>
    <w:p>
      <w:pPr>
        <w:spacing w:line="360" w:lineRule="auto"/>
        <w:rPr>
          <w:rFonts w:hint="eastAsia" w:ascii="仿宋_GB2312" w:hAnsi="宋体" w:eastAsia="仿宋_GB2312"/>
          <w:bCs/>
          <w:color w:val="auto"/>
          <w:sz w:val="32"/>
        </w:rPr>
      </w:pPr>
    </w:p>
    <w:p>
      <w:pPr>
        <w:spacing w:line="360" w:lineRule="auto"/>
        <w:jc w:val="center"/>
        <w:rPr>
          <w:rFonts w:hint="eastAsia" w:ascii="仿宋_GB2312" w:hAnsi="宋体" w:eastAsia="仿宋_GB2312"/>
          <w:bCs/>
          <w:color w:val="auto"/>
          <w:sz w:val="32"/>
        </w:rPr>
      </w:pPr>
      <w:r>
        <w:rPr>
          <w:rFonts w:hint="eastAsia" w:ascii="仿宋_GB2312" w:hAnsi="宋体" w:eastAsia="仿宋_GB2312"/>
          <w:bCs/>
          <w:color w:val="auto"/>
          <w:sz w:val="32"/>
        </w:rPr>
        <w:t>东莞市莞城建筑工程有限公司</w:t>
      </w:r>
    </w:p>
    <w:p>
      <w:pPr>
        <w:spacing w:line="360" w:lineRule="auto"/>
        <w:ind w:left="538"/>
        <w:jc w:val="center"/>
        <w:rPr>
          <w:rFonts w:ascii="仿宋_GB2312" w:hAnsi="宋体" w:eastAsia="仿宋_GB2312"/>
          <w:bCs/>
          <w:color w:val="auto"/>
          <w:sz w:val="32"/>
        </w:rPr>
        <w:sectPr>
          <w:pgSz w:w="11906" w:h="16838"/>
          <w:pgMar w:top="1134" w:right="1418" w:bottom="1134" w:left="1418" w:header="851" w:footer="992" w:gutter="0"/>
          <w:cols w:space="720" w:num="1"/>
          <w:docGrid w:type="lines" w:linePitch="312" w:charSpace="0"/>
        </w:sectPr>
      </w:pPr>
      <w:r>
        <w:rPr>
          <w:rFonts w:hint="eastAsia" w:ascii="仿宋_GB2312" w:hAnsi="宋体" w:eastAsia="仿宋_GB2312"/>
          <w:bCs/>
          <w:color w:val="auto"/>
          <w:sz w:val="32"/>
        </w:rPr>
        <w:t>202</w:t>
      </w:r>
      <w:r>
        <w:rPr>
          <w:rFonts w:hint="eastAsia" w:ascii="仿宋_GB2312" w:hAnsi="宋体" w:eastAsia="仿宋_GB2312"/>
          <w:bCs/>
          <w:color w:val="auto"/>
          <w:sz w:val="32"/>
          <w:lang w:val="en-US" w:eastAsia="zh-CN"/>
        </w:rPr>
        <w:t>3</w:t>
      </w:r>
      <w:r>
        <w:rPr>
          <w:rFonts w:hint="eastAsia" w:ascii="仿宋_GB2312" w:hAnsi="宋体" w:eastAsia="仿宋_GB2312"/>
          <w:bCs/>
          <w:color w:val="auto"/>
          <w:sz w:val="32"/>
        </w:rPr>
        <w:t>年</w:t>
      </w:r>
      <w:r>
        <w:rPr>
          <w:rFonts w:hint="eastAsia" w:ascii="仿宋_GB2312" w:hAnsi="宋体" w:eastAsia="仿宋_GB2312"/>
          <w:bCs/>
          <w:color w:val="auto"/>
          <w:sz w:val="32"/>
          <w:lang w:val="en-US" w:eastAsia="zh-CN"/>
        </w:rPr>
        <w:t>6</w:t>
      </w:r>
      <w:r>
        <w:rPr>
          <w:rFonts w:hint="eastAsia" w:ascii="仿宋_GB2312" w:hAnsi="宋体" w:eastAsia="仿宋_GB2312"/>
          <w:bCs/>
          <w:color w:val="auto"/>
          <w:sz w:val="32"/>
        </w:rPr>
        <w:t>月</w:t>
      </w:r>
    </w:p>
    <w:p>
      <w:pPr>
        <w:tabs>
          <w:tab w:val="left" w:pos="210"/>
        </w:tabs>
        <w:jc w:val="center"/>
        <w:rPr>
          <w:rFonts w:hint="eastAsia" w:eastAsia="黑体"/>
          <w:b/>
          <w:bCs/>
          <w:color w:val="auto"/>
          <w:sz w:val="32"/>
        </w:rPr>
      </w:pPr>
      <w:r>
        <w:rPr>
          <w:rFonts w:hint="eastAsia" w:eastAsia="黑体"/>
          <w:b/>
          <w:bCs/>
          <w:color w:val="auto"/>
          <w:sz w:val="32"/>
        </w:rPr>
        <w:t>第一部分 采购公告</w:t>
      </w:r>
    </w:p>
    <w:p>
      <w:pPr>
        <w:widowControl/>
        <w:snapToGrid w:val="0"/>
        <w:spacing w:line="480" w:lineRule="auto"/>
        <w:rPr>
          <w:rFonts w:hint="eastAsia" w:ascii="宋体" w:hAnsi="宋体"/>
          <w:color w:val="auto"/>
          <w:kern w:val="0"/>
          <w:szCs w:val="21"/>
        </w:rPr>
      </w:pPr>
      <w:r>
        <w:rPr>
          <w:rFonts w:hint="eastAsia" w:ascii="宋体" w:hAnsi="宋体"/>
          <w:color w:val="auto"/>
          <w:kern w:val="0"/>
          <w:szCs w:val="21"/>
        </w:rPr>
        <w:t>至：投标人</w:t>
      </w:r>
    </w:p>
    <w:p>
      <w:pPr>
        <w:widowControl/>
        <w:snapToGrid w:val="0"/>
        <w:spacing w:line="480" w:lineRule="auto"/>
        <w:ind w:firstLine="640"/>
        <w:rPr>
          <w:rFonts w:hint="eastAsia" w:ascii="宋体" w:hAnsi="宋体"/>
          <w:color w:val="auto"/>
          <w:kern w:val="0"/>
          <w:szCs w:val="21"/>
        </w:rPr>
      </w:pPr>
      <w:r>
        <w:rPr>
          <w:rFonts w:hint="eastAsia" w:ascii="宋体" w:hAnsi="宋体"/>
          <w:color w:val="auto"/>
          <w:kern w:val="0"/>
          <w:szCs w:val="21"/>
        </w:rPr>
        <w:t xml:space="preserve">   东莞市莞城建筑工程有限公司就</w:t>
      </w:r>
      <w:r>
        <w:rPr>
          <w:rFonts w:hint="eastAsia" w:ascii="宋体" w:hAnsi="宋体"/>
          <w:color w:val="auto"/>
          <w:kern w:val="0"/>
          <w:szCs w:val="21"/>
          <w:u w:val="single"/>
        </w:rPr>
        <w:t xml:space="preserve"> 广东省东莞市城区配套物流仓储建设项目-</w:t>
      </w:r>
      <w:r>
        <w:rPr>
          <w:rFonts w:hint="eastAsia" w:ascii="宋体" w:hAnsi="宋体"/>
          <w:color w:val="auto"/>
          <w:kern w:val="0"/>
          <w:szCs w:val="21"/>
          <w:u w:val="single"/>
          <w:lang w:val="en-US" w:eastAsia="zh-CN"/>
        </w:rPr>
        <w:t>生活区</w:t>
      </w:r>
      <w:r>
        <w:rPr>
          <w:rFonts w:hint="eastAsia" w:ascii="宋体" w:hAnsi="宋体"/>
          <w:color w:val="auto"/>
          <w:kern w:val="0"/>
          <w:szCs w:val="21"/>
          <w:u w:val="single"/>
        </w:rPr>
        <w:t xml:space="preserve">临建工程 </w:t>
      </w:r>
      <w:r>
        <w:rPr>
          <w:rFonts w:hint="eastAsia" w:ascii="宋体" w:hAnsi="宋体"/>
          <w:color w:val="auto"/>
          <w:kern w:val="0"/>
          <w:szCs w:val="21"/>
        </w:rPr>
        <w:t>进行</w:t>
      </w:r>
      <w:r>
        <w:rPr>
          <w:rFonts w:hint="eastAsia" w:ascii="宋体" w:hAnsi="宋体"/>
          <w:color w:val="auto"/>
          <w:kern w:val="0"/>
          <w:szCs w:val="21"/>
          <w:u w:val="single"/>
        </w:rPr>
        <w:t>公开采购</w:t>
      </w:r>
      <w:r>
        <w:rPr>
          <w:rFonts w:hint="eastAsia" w:ascii="宋体" w:hAnsi="宋体"/>
          <w:color w:val="auto"/>
          <w:kern w:val="0"/>
          <w:szCs w:val="21"/>
        </w:rPr>
        <w:t>现将有关事项说明如下：</w:t>
      </w:r>
    </w:p>
    <w:p>
      <w:pPr>
        <w:widowControl/>
        <w:snapToGrid w:val="0"/>
        <w:spacing w:line="480" w:lineRule="auto"/>
        <w:ind w:firstLine="640"/>
        <w:rPr>
          <w:rFonts w:ascii="宋体" w:hAnsi="宋体"/>
          <w:color w:val="auto"/>
          <w:kern w:val="0"/>
          <w:szCs w:val="21"/>
          <w:u w:val="single"/>
        </w:rPr>
      </w:pPr>
      <w:r>
        <w:rPr>
          <w:rFonts w:hint="eastAsia" w:ascii="宋体" w:hAnsi="宋体"/>
          <w:color w:val="auto"/>
          <w:kern w:val="0"/>
          <w:szCs w:val="21"/>
        </w:rPr>
        <w:t>一、项目名称：</w:t>
      </w:r>
      <w:r>
        <w:rPr>
          <w:rFonts w:hint="eastAsia" w:ascii="宋体" w:hAnsi="宋体"/>
          <w:color w:val="auto"/>
          <w:kern w:val="0"/>
          <w:szCs w:val="21"/>
          <w:u w:val="single"/>
        </w:rPr>
        <w:t xml:space="preserve"> 广东省东莞市城区配套物流仓储建设项目-</w:t>
      </w:r>
      <w:r>
        <w:rPr>
          <w:rFonts w:hint="eastAsia" w:ascii="宋体" w:hAnsi="宋体"/>
          <w:color w:val="auto"/>
          <w:kern w:val="0"/>
          <w:szCs w:val="21"/>
          <w:u w:val="single"/>
          <w:lang w:val="en-US" w:eastAsia="zh-CN"/>
        </w:rPr>
        <w:t>生活区</w:t>
      </w:r>
      <w:r>
        <w:rPr>
          <w:rFonts w:hint="eastAsia" w:ascii="宋体" w:hAnsi="宋体"/>
          <w:color w:val="auto"/>
          <w:kern w:val="0"/>
          <w:szCs w:val="21"/>
          <w:u w:val="single"/>
        </w:rPr>
        <w:t xml:space="preserve">临建工程 </w:t>
      </w:r>
    </w:p>
    <w:p>
      <w:pPr>
        <w:widowControl/>
        <w:snapToGrid w:val="0"/>
        <w:spacing w:line="480" w:lineRule="auto"/>
        <w:ind w:firstLine="640"/>
        <w:rPr>
          <w:rFonts w:hint="eastAsia" w:ascii="宋体" w:hAnsi="宋体"/>
          <w:color w:val="auto"/>
          <w:kern w:val="0"/>
          <w:szCs w:val="21"/>
          <w:u w:val="single"/>
        </w:rPr>
      </w:pPr>
      <w:r>
        <w:rPr>
          <w:rFonts w:hint="eastAsia" w:ascii="宋体" w:hAnsi="宋体"/>
          <w:color w:val="auto"/>
          <w:kern w:val="0"/>
          <w:szCs w:val="21"/>
        </w:rPr>
        <w:t>二、项目编号：</w:t>
      </w:r>
      <w:r>
        <w:rPr>
          <w:rFonts w:hint="eastAsia" w:ascii="宋体" w:hAnsi="宋体"/>
          <w:color w:val="auto"/>
          <w:kern w:val="0"/>
          <w:szCs w:val="21"/>
          <w:u w:val="single"/>
        </w:rPr>
        <w:t xml:space="preserve">    </w:t>
      </w:r>
      <w:r>
        <w:rPr>
          <w:rFonts w:ascii="宋体" w:hAnsi="宋体"/>
          <w:color w:val="auto"/>
          <w:kern w:val="0"/>
          <w:szCs w:val="21"/>
          <w:u w:val="single"/>
        </w:rPr>
        <w:t xml:space="preserve"> </w:t>
      </w:r>
      <w:r>
        <w:rPr>
          <w:rFonts w:hint="eastAsia" w:ascii="宋体" w:hAnsi="宋体"/>
          <w:color w:val="auto"/>
          <w:kern w:val="0"/>
          <w:szCs w:val="21"/>
          <w:u w:val="single"/>
        </w:rPr>
        <w:t xml:space="preserve"> ZBCG-202</w:t>
      </w:r>
      <w:r>
        <w:rPr>
          <w:rFonts w:hint="eastAsia" w:ascii="宋体" w:hAnsi="宋体"/>
          <w:color w:val="auto"/>
          <w:kern w:val="0"/>
          <w:szCs w:val="21"/>
          <w:u w:val="single"/>
          <w:lang w:val="en-US" w:eastAsia="zh-CN"/>
        </w:rPr>
        <w:t>3</w:t>
      </w:r>
      <w:r>
        <w:rPr>
          <w:rFonts w:hint="eastAsia" w:ascii="宋体" w:hAnsi="宋体"/>
          <w:color w:val="auto"/>
          <w:kern w:val="0"/>
          <w:szCs w:val="21"/>
          <w:u w:val="single"/>
        </w:rPr>
        <w:t>-</w:t>
      </w:r>
      <w:r>
        <w:rPr>
          <w:rFonts w:hint="eastAsia" w:ascii="宋体" w:hAnsi="宋体"/>
          <w:color w:val="auto"/>
          <w:kern w:val="0"/>
          <w:szCs w:val="21"/>
          <w:u w:val="single"/>
          <w:lang w:val="en-US" w:eastAsia="zh-CN"/>
        </w:rPr>
        <w:t>54</w:t>
      </w:r>
      <w:r>
        <w:rPr>
          <w:rFonts w:hint="eastAsia" w:ascii="宋体" w:hAnsi="宋体"/>
          <w:color w:val="auto"/>
          <w:kern w:val="0"/>
          <w:szCs w:val="21"/>
          <w:u w:val="single"/>
        </w:rPr>
        <w:t xml:space="preserve">  </w:t>
      </w:r>
      <w:r>
        <w:rPr>
          <w:rFonts w:ascii="宋体" w:hAnsi="宋体"/>
          <w:color w:val="auto"/>
          <w:kern w:val="0"/>
          <w:szCs w:val="21"/>
          <w:u w:val="single"/>
        </w:rPr>
        <w:t xml:space="preserve"> </w:t>
      </w:r>
      <w:r>
        <w:rPr>
          <w:rFonts w:hint="eastAsia" w:ascii="宋体" w:hAnsi="宋体"/>
          <w:color w:val="auto"/>
          <w:kern w:val="0"/>
          <w:szCs w:val="21"/>
          <w:u w:val="single"/>
        </w:rPr>
        <w:t xml:space="preserve">  </w:t>
      </w:r>
    </w:p>
    <w:p>
      <w:pPr>
        <w:widowControl/>
        <w:snapToGrid w:val="0"/>
        <w:spacing w:line="480" w:lineRule="auto"/>
        <w:ind w:firstLine="640"/>
        <w:rPr>
          <w:rFonts w:hint="eastAsia" w:ascii="宋体" w:hAnsi="宋体"/>
          <w:color w:val="auto"/>
          <w:kern w:val="0"/>
          <w:szCs w:val="21"/>
          <w:u w:val="single"/>
        </w:rPr>
      </w:pPr>
      <w:r>
        <w:rPr>
          <w:rFonts w:hint="eastAsia" w:ascii="宋体" w:hAnsi="宋体"/>
          <w:color w:val="auto"/>
          <w:kern w:val="0"/>
          <w:szCs w:val="21"/>
        </w:rPr>
        <w:t>三、工程地点：</w:t>
      </w:r>
      <w:r>
        <w:rPr>
          <w:rFonts w:hint="eastAsia" w:ascii="宋体" w:hAnsi="宋体"/>
          <w:color w:val="auto"/>
          <w:kern w:val="0"/>
          <w:szCs w:val="21"/>
          <w:u w:val="single"/>
        </w:rPr>
        <w:t xml:space="preserve">   </w:t>
      </w:r>
      <w:r>
        <w:rPr>
          <w:rFonts w:ascii="宋体" w:hAnsi="宋体"/>
          <w:color w:val="auto"/>
          <w:kern w:val="0"/>
          <w:szCs w:val="21"/>
          <w:u w:val="single"/>
        </w:rPr>
        <w:t xml:space="preserve"> </w:t>
      </w:r>
      <w:r>
        <w:rPr>
          <w:rFonts w:hint="eastAsia" w:ascii="宋体" w:hAnsi="宋体"/>
          <w:color w:val="auto"/>
          <w:kern w:val="0"/>
          <w:szCs w:val="21"/>
          <w:u w:val="single"/>
        </w:rPr>
        <w:t xml:space="preserve">  东莞市寮步镇上屯村 </w:t>
      </w:r>
      <w:r>
        <w:rPr>
          <w:rFonts w:ascii="宋体" w:hAnsi="宋体"/>
          <w:color w:val="auto"/>
          <w:kern w:val="0"/>
          <w:szCs w:val="21"/>
          <w:u w:val="single"/>
        </w:rPr>
        <w:t xml:space="preserve">    </w:t>
      </w:r>
    </w:p>
    <w:p>
      <w:pPr>
        <w:widowControl/>
        <w:snapToGrid w:val="0"/>
        <w:spacing w:line="480" w:lineRule="auto"/>
        <w:ind w:firstLine="640"/>
        <w:rPr>
          <w:rFonts w:hint="eastAsia" w:ascii="宋体" w:hAnsi="宋体" w:eastAsia="宋体" w:cs="Times New Roman"/>
          <w:color w:val="auto"/>
          <w:kern w:val="0"/>
          <w:szCs w:val="21"/>
        </w:rPr>
      </w:pPr>
      <w:r>
        <w:rPr>
          <w:rFonts w:hint="eastAsia" w:ascii="宋体" w:hAnsi="宋体"/>
          <w:color w:val="auto"/>
          <w:kern w:val="0"/>
          <w:szCs w:val="21"/>
        </w:rPr>
        <w:t>四、本项目控制价为</w:t>
      </w:r>
      <w:r>
        <w:rPr>
          <w:rFonts w:hint="eastAsia" w:ascii="宋体" w:hAnsi="宋体"/>
          <w:color w:val="auto"/>
          <w:kern w:val="0"/>
          <w:szCs w:val="21"/>
          <w:u w:val="single"/>
        </w:rPr>
        <w:t>¥3995834.41元</w:t>
      </w:r>
      <w:r>
        <w:rPr>
          <w:rFonts w:hint="eastAsia" w:ascii="宋体" w:hAnsi="宋体"/>
          <w:color w:val="auto"/>
          <w:kern w:val="0"/>
          <w:szCs w:val="21"/>
        </w:rPr>
        <w:t>，</w:t>
      </w:r>
      <w:r>
        <w:rPr>
          <w:rFonts w:hint="eastAsia" w:ascii="宋体" w:hAnsi="宋体"/>
          <w:color w:val="auto"/>
          <w:kern w:val="0"/>
          <w:szCs w:val="21"/>
          <w:lang w:val="en-US" w:eastAsia="zh-CN"/>
        </w:rPr>
        <w:t>下浮率参考</w:t>
      </w:r>
      <w:r>
        <w:rPr>
          <w:rFonts w:hint="eastAsia" w:ascii="宋体" w:hAnsi="宋体"/>
          <w:color w:val="auto"/>
          <w:kern w:val="0"/>
          <w:szCs w:val="21"/>
        </w:rPr>
        <w:t>《2022年东莞市房屋建筑和市政基础设施工程施工公开招标投标中标价情况分析》建筑工程-其他下浮率</w:t>
      </w:r>
      <w:r>
        <w:rPr>
          <w:rFonts w:hint="eastAsia" w:ascii="宋体" w:hAnsi="宋体"/>
          <w:color w:val="auto"/>
          <w:kern w:val="0"/>
          <w:szCs w:val="21"/>
          <w:lang w:eastAsia="zh-CN"/>
        </w:rPr>
        <w:t>，</w:t>
      </w:r>
      <w:r>
        <w:rPr>
          <w:rFonts w:hint="eastAsia" w:ascii="宋体" w:hAnsi="宋体"/>
          <w:color w:val="auto"/>
          <w:kern w:val="0"/>
          <w:szCs w:val="21"/>
          <w:highlight w:val="none"/>
        </w:rPr>
        <w:t>下浮</w:t>
      </w:r>
      <w:r>
        <w:rPr>
          <w:rFonts w:hint="eastAsia" w:ascii="宋体" w:hAnsi="宋体"/>
          <w:color w:val="auto"/>
          <w:kern w:val="0"/>
          <w:szCs w:val="21"/>
          <w:highlight w:val="none"/>
          <w:u w:val="single"/>
        </w:rPr>
        <w:t>5.</w:t>
      </w:r>
      <w:r>
        <w:rPr>
          <w:rFonts w:hint="eastAsia" w:ascii="宋体" w:hAnsi="宋体"/>
          <w:color w:val="auto"/>
          <w:kern w:val="0"/>
          <w:szCs w:val="21"/>
          <w:highlight w:val="none"/>
          <w:u w:val="single"/>
          <w:lang w:val="en-US" w:eastAsia="zh-CN"/>
        </w:rPr>
        <w:t>46</w:t>
      </w:r>
      <w:r>
        <w:rPr>
          <w:rFonts w:hint="eastAsia" w:ascii="宋体" w:hAnsi="宋体"/>
          <w:color w:val="auto"/>
          <w:kern w:val="0"/>
          <w:szCs w:val="21"/>
          <w:highlight w:val="none"/>
          <w:u w:val="single"/>
        </w:rPr>
        <w:t>%</w:t>
      </w:r>
      <w:r>
        <w:rPr>
          <w:rFonts w:hint="eastAsia" w:ascii="宋体" w:hAnsi="宋体"/>
          <w:color w:val="auto"/>
          <w:kern w:val="0"/>
          <w:szCs w:val="21"/>
          <w:highlight w:val="none"/>
        </w:rPr>
        <w:t>作为采</w:t>
      </w:r>
      <w:r>
        <w:rPr>
          <w:rFonts w:hint="eastAsia" w:ascii="宋体" w:hAnsi="宋体"/>
          <w:color w:val="auto"/>
          <w:kern w:val="0"/>
          <w:szCs w:val="21"/>
        </w:rPr>
        <w:t>购限价，即以下浮后金额</w:t>
      </w:r>
      <w:r>
        <w:rPr>
          <w:rFonts w:hint="eastAsia" w:ascii="宋体" w:hAnsi="宋体"/>
          <w:color w:val="auto"/>
          <w:kern w:val="0"/>
          <w:szCs w:val="21"/>
          <w:u w:val="single"/>
        </w:rPr>
        <w:t>¥3777661.85</w:t>
      </w:r>
      <w:r>
        <w:rPr>
          <w:rFonts w:hint="eastAsia" w:ascii="宋体" w:hAnsi="宋体"/>
          <w:color w:val="auto"/>
          <w:kern w:val="0"/>
          <w:szCs w:val="21"/>
        </w:rPr>
        <w:t>元作为采购最高限价</w:t>
      </w:r>
      <w:r>
        <w:rPr>
          <w:rFonts w:hint="eastAsia" w:ascii="宋体" w:hAnsi="宋体"/>
          <w:color w:val="auto"/>
          <w:kern w:val="0"/>
          <w:szCs w:val="21"/>
          <w:lang w:eastAsia="zh-CN"/>
        </w:rPr>
        <w:t>，</w:t>
      </w:r>
      <w:r>
        <w:rPr>
          <w:rFonts w:hint="eastAsia" w:ascii="宋体" w:hAnsi="宋体" w:eastAsia="宋体" w:cs="Times New Roman"/>
          <w:color w:val="auto"/>
          <w:kern w:val="0"/>
          <w:szCs w:val="21"/>
          <w:lang w:val="en-US" w:eastAsia="zh-CN"/>
        </w:rPr>
        <w:t>（大写）</w:t>
      </w:r>
      <w:r>
        <w:rPr>
          <w:rFonts w:hint="eastAsia" w:ascii="宋体" w:hAnsi="宋体" w:eastAsia="宋体" w:cs="Times New Roman"/>
          <w:color w:val="auto"/>
          <w:kern w:val="0"/>
          <w:szCs w:val="21"/>
          <w:u w:val="single"/>
          <w:lang w:val="en-US" w:eastAsia="zh-CN"/>
        </w:rPr>
        <w:t>叁佰柒拾柒万柒仟陆佰陆拾壹元捌角伍分</w:t>
      </w:r>
      <w:r>
        <w:rPr>
          <w:rFonts w:hint="eastAsia" w:ascii="宋体" w:hAnsi="宋体" w:eastAsia="宋体" w:cs="Times New Roman"/>
          <w:color w:val="auto"/>
          <w:kern w:val="0"/>
          <w:szCs w:val="21"/>
          <w:lang w:val="en-US" w:eastAsia="zh-CN"/>
        </w:rPr>
        <w:t>。其中不含税工程价款为：（小写）</w:t>
      </w:r>
      <w:r>
        <w:rPr>
          <w:rFonts w:hint="eastAsia" w:ascii="宋体" w:hAnsi="宋体" w:eastAsia="宋体" w:cs="Times New Roman"/>
          <w:color w:val="auto"/>
          <w:kern w:val="0"/>
          <w:szCs w:val="21"/>
          <w:u w:val="single"/>
          <w:lang w:val="en-US" w:eastAsia="zh-CN"/>
        </w:rPr>
        <w:t xml:space="preserve">¥3,465,744.82 </w:t>
      </w:r>
      <w:r>
        <w:rPr>
          <w:rFonts w:hint="eastAsia" w:ascii="宋体" w:hAnsi="宋体" w:eastAsia="宋体" w:cs="Times New Roman"/>
          <w:color w:val="auto"/>
          <w:kern w:val="0"/>
          <w:szCs w:val="21"/>
          <w:lang w:val="en-US" w:eastAsia="zh-CN"/>
        </w:rPr>
        <w:t>元，（大写）</w:t>
      </w:r>
      <w:r>
        <w:rPr>
          <w:rFonts w:hint="eastAsia" w:ascii="宋体" w:hAnsi="宋体" w:eastAsia="宋体" w:cs="Times New Roman"/>
          <w:color w:val="auto"/>
          <w:kern w:val="0"/>
          <w:szCs w:val="21"/>
          <w:u w:val="single"/>
          <w:lang w:val="en-US" w:eastAsia="zh-CN"/>
        </w:rPr>
        <w:t>叁佰肆拾陆万伍仟柒佰肆拾肆元捌角贰分</w:t>
      </w:r>
      <w:r>
        <w:rPr>
          <w:rFonts w:hint="eastAsia" w:ascii="宋体" w:hAnsi="宋体" w:eastAsia="宋体" w:cs="Times New Roman"/>
          <w:color w:val="auto"/>
          <w:kern w:val="0"/>
          <w:szCs w:val="21"/>
          <w:lang w:val="en-US" w:eastAsia="zh-CN"/>
        </w:rPr>
        <w:t>；增值税税率为9%，税金：（小写）</w:t>
      </w:r>
      <w:r>
        <w:rPr>
          <w:rFonts w:hint="eastAsia" w:ascii="宋体" w:hAnsi="宋体" w:eastAsia="宋体" w:cs="Times New Roman"/>
          <w:color w:val="auto"/>
          <w:kern w:val="0"/>
          <w:szCs w:val="21"/>
          <w:u w:val="single"/>
          <w:lang w:val="en-US" w:eastAsia="zh-CN"/>
        </w:rPr>
        <w:t>¥311,917.03</w:t>
      </w:r>
      <w:r>
        <w:rPr>
          <w:rFonts w:hint="eastAsia" w:ascii="宋体" w:hAnsi="宋体" w:eastAsia="宋体" w:cs="Times New Roman"/>
          <w:color w:val="auto"/>
          <w:kern w:val="0"/>
          <w:szCs w:val="21"/>
          <w:lang w:val="en-US" w:eastAsia="zh-CN"/>
        </w:rPr>
        <w:t>元，（大写）</w:t>
      </w:r>
      <w:r>
        <w:rPr>
          <w:rFonts w:hint="eastAsia" w:ascii="宋体" w:hAnsi="宋体" w:eastAsia="宋体" w:cs="Times New Roman"/>
          <w:color w:val="auto"/>
          <w:kern w:val="0"/>
          <w:szCs w:val="21"/>
          <w:u w:val="single"/>
          <w:lang w:val="en-US" w:eastAsia="zh-CN"/>
        </w:rPr>
        <w:t>叁拾壹万壹仟玖佰壹拾柒元零叁分</w:t>
      </w:r>
      <w:r>
        <w:rPr>
          <w:rFonts w:hint="eastAsia" w:ascii="宋体" w:hAnsi="宋体" w:eastAsia="宋体" w:cs="Times New Roman"/>
          <w:color w:val="auto"/>
          <w:kern w:val="0"/>
          <w:szCs w:val="21"/>
        </w:rPr>
        <w:t>。</w:t>
      </w:r>
    </w:p>
    <w:p>
      <w:pPr>
        <w:widowControl/>
        <w:snapToGrid w:val="0"/>
        <w:spacing w:line="480" w:lineRule="auto"/>
        <w:ind w:firstLine="640"/>
        <w:rPr>
          <w:rFonts w:hint="eastAsia" w:ascii="宋体" w:hAnsi="宋体"/>
          <w:color w:val="auto"/>
          <w:kern w:val="0"/>
          <w:szCs w:val="21"/>
        </w:rPr>
      </w:pPr>
      <w:r>
        <w:rPr>
          <w:rFonts w:hint="eastAsia" w:ascii="宋体" w:hAnsi="宋体"/>
          <w:color w:val="auto"/>
          <w:kern w:val="0"/>
          <w:szCs w:val="21"/>
        </w:rPr>
        <w:t>五、项目概况：项目总建筑面积约48655平方米，用地面积23748.62平方米，地下室面积17700平方米，建筑最大高度24.9米。建设内容包括：商业、社会公共停车场等。</w:t>
      </w:r>
    </w:p>
    <w:p>
      <w:pPr>
        <w:widowControl/>
        <w:snapToGrid w:val="0"/>
        <w:spacing w:line="480" w:lineRule="auto"/>
        <w:ind w:firstLine="630" w:firstLineChars="300"/>
        <w:rPr>
          <w:rFonts w:hint="eastAsia" w:ascii="宋体" w:hAnsi="宋体"/>
          <w:color w:val="auto"/>
          <w:kern w:val="0"/>
          <w:szCs w:val="21"/>
        </w:rPr>
      </w:pPr>
      <w:r>
        <w:rPr>
          <w:rFonts w:hint="eastAsia" w:ascii="宋体" w:hAnsi="宋体"/>
          <w:color w:val="auto"/>
          <w:kern w:val="0"/>
          <w:szCs w:val="21"/>
        </w:rPr>
        <w:t>六、工程范围</w:t>
      </w:r>
      <w:r>
        <w:rPr>
          <w:rFonts w:hint="eastAsia" w:ascii="宋体" w:hAnsi="宋体"/>
          <w:color w:val="auto"/>
          <w:kern w:val="0"/>
          <w:szCs w:val="21"/>
        </w:rPr>
        <w:t xml:space="preserve">：本工程范围内的临建工程，主要包含施工围挡、地面硬化、板房搭拆、消火栓、配电箱、电缆、电线、照明灯具、开关、给排水、化粪池、隔油池等（以上采购范围未尽事宜，详见工程量清单）。 </w:t>
      </w:r>
    </w:p>
    <w:p>
      <w:pPr>
        <w:widowControl/>
        <w:snapToGrid w:val="0"/>
        <w:spacing w:line="480" w:lineRule="auto"/>
        <w:ind w:firstLine="420" w:firstLineChars="200"/>
        <w:rPr>
          <w:rFonts w:hint="eastAsia" w:ascii="宋体" w:hAnsi="宋体"/>
          <w:color w:val="auto"/>
          <w:kern w:val="0"/>
          <w:szCs w:val="21"/>
        </w:rPr>
      </w:pPr>
      <w:r>
        <w:rPr>
          <w:rFonts w:hint="eastAsia" w:ascii="宋体" w:hAnsi="宋体"/>
          <w:color w:val="auto"/>
          <w:kern w:val="0"/>
          <w:szCs w:val="21"/>
        </w:rPr>
        <w:t xml:space="preserve"> </w:t>
      </w:r>
      <w:r>
        <w:rPr>
          <w:rFonts w:hint="eastAsia" w:ascii="宋体" w:hAnsi="宋体"/>
          <w:color w:val="auto"/>
          <w:kern w:val="0"/>
          <w:szCs w:val="21"/>
        </w:rPr>
        <w:t xml:space="preserve"> 七、计划开竣工日</w:t>
      </w:r>
      <w:r>
        <w:rPr>
          <w:rFonts w:hint="eastAsia" w:ascii="宋体" w:hAnsi="宋体"/>
          <w:color w:val="auto"/>
          <w:kern w:val="0"/>
          <w:szCs w:val="21"/>
          <w:highlight w:val="none"/>
        </w:rPr>
        <w:t>期：</w:t>
      </w:r>
      <w:r>
        <w:rPr>
          <w:rFonts w:hint="eastAsia" w:ascii="宋体" w:hAnsi="宋体"/>
          <w:color w:val="auto"/>
          <w:kern w:val="0"/>
          <w:szCs w:val="21"/>
          <w:highlight w:val="none"/>
          <w:u w:val="single"/>
        </w:rPr>
        <w:t>202</w:t>
      </w:r>
      <w:r>
        <w:rPr>
          <w:rFonts w:hint="eastAsia" w:ascii="宋体" w:hAnsi="宋体"/>
          <w:color w:val="auto"/>
          <w:kern w:val="0"/>
          <w:szCs w:val="21"/>
          <w:highlight w:val="none"/>
          <w:u w:val="single"/>
          <w:lang w:val="en-US" w:eastAsia="zh-CN"/>
        </w:rPr>
        <w:t>3</w:t>
      </w:r>
      <w:r>
        <w:rPr>
          <w:rFonts w:hint="eastAsia" w:ascii="宋体" w:hAnsi="宋体"/>
          <w:color w:val="auto"/>
          <w:kern w:val="0"/>
          <w:szCs w:val="21"/>
          <w:highlight w:val="none"/>
          <w:u w:val="single"/>
        </w:rPr>
        <w:t xml:space="preserve">年 </w:t>
      </w:r>
      <w:r>
        <w:rPr>
          <w:rFonts w:hint="eastAsia" w:ascii="宋体" w:hAnsi="宋体"/>
          <w:color w:val="auto"/>
          <w:kern w:val="0"/>
          <w:szCs w:val="21"/>
          <w:highlight w:val="none"/>
          <w:u w:val="single"/>
          <w:lang w:val="en-US" w:eastAsia="zh-CN"/>
        </w:rPr>
        <w:t>6</w:t>
      </w:r>
      <w:r>
        <w:rPr>
          <w:rFonts w:hint="eastAsia" w:ascii="宋体" w:hAnsi="宋体"/>
          <w:color w:val="auto"/>
          <w:kern w:val="0"/>
          <w:szCs w:val="21"/>
          <w:highlight w:val="none"/>
          <w:u w:val="single"/>
        </w:rPr>
        <w:t xml:space="preserve"> 月</w:t>
      </w:r>
      <w:r>
        <w:rPr>
          <w:rFonts w:hint="eastAsia" w:ascii="宋体" w:hAnsi="宋体"/>
          <w:color w:val="auto"/>
          <w:kern w:val="0"/>
          <w:szCs w:val="21"/>
          <w:highlight w:val="none"/>
          <w:u w:val="single"/>
          <w:lang w:val="en-US" w:eastAsia="zh-CN"/>
        </w:rPr>
        <w:t>28</w:t>
      </w:r>
      <w:r>
        <w:rPr>
          <w:rFonts w:hint="eastAsia" w:ascii="宋体" w:hAnsi="宋体"/>
          <w:color w:val="auto"/>
          <w:kern w:val="0"/>
          <w:szCs w:val="21"/>
          <w:highlight w:val="none"/>
          <w:u w:val="single"/>
        </w:rPr>
        <w:t xml:space="preserve"> 日至2023年</w:t>
      </w:r>
      <w:r>
        <w:rPr>
          <w:rFonts w:hint="eastAsia" w:ascii="宋体" w:hAnsi="宋体"/>
          <w:color w:val="auto"/>
          <w:kern w:val="0"/>
          <w:szCs w:val="21"/>
          <w:highlight w:val="none"/>
          <w:u w:val="single"/>
          <w:lang w:val="en-US" w:eastAsia="zh-CN"/>
        </w:rPr>
        <w:t>8</w:t>
      </w:r>
      <w:r>
        <w:rPr>
          <w:rFonts w:hint="eastAsia" w:ascii="宋体" w:hAnsi="宋体"/>
          <w:color w:val="auto"/>
          <w:kern w:val="0"/>
          <w:szCs w:val="21"/>
          <w:highlight w:val="none"/>
          <w:u w:val="single"/>
        </w:rPr>
        <w:t>月</w:t>
      </w:r>
      <w:r>
        <w:rPr>
          <w:rFonts w:hint="eastAsia" w:ascii="宋体" w:hAnsi="宋体"/>
          <w:color w:val="auto"/>
          <w:kern w:val="0"/>
          <w:szCs w:val="21"/>
          <w:highlight w:val="none"/>
          <w:u w:val="single"/>
          <w:lang w:val="en-US" w:eastAsia="zh-CN"/>
        </w:rPr>
        <w:t>12</w:t>
      </w:r>
      <w:r>
        <w:rPr>
          <w:rFonts w:hint="eastAsia" w:ascii="宋体" w:hAnsi="宋体"/>
          <w:color w:val="auto"/>
          <w:kern w:val="0"/>
          <w:szCs w:val="21"/>
          <w:highlight w:val="none"/>
          <w:u w:val="single"/>
        </w:rPr>
        <w:t>日，总工期</w:t>
      </w:r>
      <w:r>
        <w:rPr>
          <w:rFonts w:hint="eastAsia" w:ascii="宋体" w:hAnsi="宋体"/>
          <w:color w:val="auto"/>
          <w:kern w:val="0"/>
          <w:szCs w:val="21"/>
          <w:highlight w:val="none"/>
          <w:u w:val="single"/>
          <w:lang w:val="en-US" w:eastAsia="zh-CN"/>
        </w:rPr>
        <w:t xml:space="preserve"> 45</w:t>
      </w:r>
      <w:r>
        <w:rPr>
          <w:rFonts w:hint="eastAsia" w:ascii="宋体" w:hAnsi="宋体"/>
          <w:color w:val="auto"/>
          <w:kern w:val="0"/>
          <w:szCs w:val="21"/>
          <w:highlight w:val="none"/>
          <w:u w:val="single"/>
        </w:rPr>
        <w:t>日历天</w:t>
      </w:r>
      <w:r>
        <w:rPr>
          <w:rFonts w:hint="eastAsia" w:ascii="宋体" w:hAnsi="宋体"/>
          <w:color w:val="auto"/>
          <w:kern w:val="0"/>
          <w:szCs w:val="21"/>
          <w:highlight w:val="none"/>
        </w:rPr>
        <w:t>。具体施工时间根据项目部施工进度安排。</w:t>
      </w:r>
    </w:p>
    <w:p>
      <w:pPr>
        <w:widowControl/>
        <w:snapToGrid w:val="0"/>
        <w:spacing w:line="480" w:lineRule="auto"/>
        <w:ind w:firstLine="640"/>
        <w:rPr>
          <w:rFonts w:hint="eastAsia" w:ascii="宋体" w:hAnsi="宋体"/>
          <w:color w:val="auto"/>
          <w:kern w:val="0"/>
          <w:szCs w:val="21"/>
        </w:rPr>
      </w:pPr>
      <w:r>
        <w:rPr>
          <w:rFonts w:hint="eastAsia" w:ascii="宋体" w:hAnsi="宋体"/>
          <w:color w:val="auto"/>
          <w:kern w:val="0"/>
          <w:szCs w:val="21"/>
        </w:rPr>
        <w:t>八、投标文件的递交时间为：以密封形式于</w:t>
      </w:r>
      <w:r>
        <w:rPr>
          <w:rFonts w:hint="eastAsia" w:ascii="宋体" w:hAnsi="宋体"/>
          <w:color w:val="auto"/>
          <w:kern w:val="0"/>
          <w:szCs w:val="21"/>
          <w:u w:val="single"/>
        </w:rPr>
        <w:t xml:space="preserve"> 202</w:t>
      </w:r>
      <w:r>
        <w:rPr>
          <w:rFonts w:hint="eastAsia" w:ascii="宋体" w:hAnsi="宋体"/>
          <w:color w:val="auto"/>
          <w:kern w:val="0"/>
          <w:szCs w:val="21"/>
          <w:u w:val="single"/>
          <w:lang w:val="en-US" w:eastAsia="zh-CN"/>
        </w:rPr>
        <w:t>3</w:t>
      </w:r>
      <w:r>
        <w:rPr>
          <w:rFonts w:hint="eastAsia" w:ascii="宋体" w:hAnsi="宋体"/>
          <w:color w:val="auto"/>
          <w:kern w:val="0"/>
          <w:szCs w:val="21"/>
          <w:u w:val="single"/>
        </w:rPr>
        <w:t xml:space="preserve"> </w:t>
      </w:r>
      <w:r>
        <w:rPr>
          <w:rFonts w:hint="eastAsia" w:ascii="宋体" w:hAnsi="宋体"/>
          <w:color w:val="auto"/>
          <w:kern w:val="0"/>
          <w:szCs w:val="21"/>
        </w:rPr>
        <w:t>年</w:t>
      </w:r>
      <w:r>
        <w:rPr>
          <w:rFonts w:hint="eastAsia" w:ascii="宋体" w:hAnsi="宋体"/>
          <w:color w:val="auto"/>
          <w:kern w:val="0"/>
          <w:szCs w:val="21"/>
          <w:u w:val="single"/>
        </w:rPr>
        <w:t xml:space="preserve"> </w:t>
      </w:r>
      <w:r>
        <w:rPr>
          <w:rFonts w:hint="eastAsia" w:ascii="宋体" w:hAnsi="宋体"/>
          <w:color w:val="auto"/>
          <w:kern w:val="0"/>
          <w:szCs w:val="21"/>
          <w:u w:val="single"/>
          <w:lang w:val="en-US" w:eastAsia="zh-CN"/>
        </w:rPr>
        <w:t>6</w:t>
      </w:r>
      <w:r>
        <w:rPr>
          <w:rFonts w:hint="eastAsia" w:ascii="宋体" w:hAnsi="宋体"/>
          <w:color w:val="auto"/>
          <w:kern w:val="0"/>
          <w:szCs w:val="21"/>
        </w:rPr>
        <w:t>月</w:t>
      </w:r>
      <w:r>
        <w:rPr>
          <w:rFonts w:hint="eastAsia" w:ascii="宋体" w:hAnsi="宋体"/>
          <w:color w:val="auto"/>
          <w:kern w:val="0"/>
          <w:szCs w:val="21"/>
          <w:u w:val="single"/>
        </w:rPr>
        <w:t xml:space="preserve"> </w:t>
      </w:r>
      <w:r>
        <w:rPr>
          <w:rFonts w:hint="eastAsia" w:ascii="宋体" w:hAnsi="宋体"/>
          <w:color w:val="auto"/>
          <w:kern w:val="0"/>
          <w:szCs w:val="21"/>
          <w:u w:val="single"/>
          <w:lang w:val="en-US" w:eastAsia="zh-CN"/>
        </w:rPr>
        <w:t>27</w:t>
      </w:r>
      <w:r>
        <w:rPr>
          <w:rFonts w:hint="eastAsia" w:ascii="宋体" w:hAnsi="宋体"/>
          <w:color w:val="auto"/>
          <w:kern w:val="0"/>
          <w:szCs w:val="21"/>
          <w:u w:val="single"/>
        </w:rPr>
        <w:t xml:space="preserve"> </w:t>
      </w:r>
      <w:r>
        <w:rPr>
          <w:rFonts w:hint="eastAsia" w:ascii="宋体" w:hAnsi="宋体"/>
          <w:color w:val="auto"/>
          <w:kern w:val="0"/>
          <w:szCs w:val="21"/>
        </w:rPr>
        <w:t>日</w:t>
      </w:r>
      <w:r>
        <w:rPr>
          <w:rFonts w:hint="eastAsia" w:ascii="宋体" w:hAnsi="宋体"/>
          <w:color w:val="auto"/>
          <w:kern w:val="0"/>
          <w:szCs w:val="21"/>
          <w:u w:val="single"/>
        </w:rPr>
        <w:t xml:space="preserve"> 1</w:t>
      </w:r>
      <w:r>
        <w:rPr>
          <w:rFonts w:hint="eastAsia" w:ascii="宋体" w:hAnsi="宋体"/>
          <w:color w:val="auto"/>
          <w:kern w:val="0"/>
          <w:szCs w:val="21"/>
          <w:u w:val="single"/>
          <w:lang w:val="en-US" w:eastAsia="zh-CN"/>
        </w:rPr>
        <w:t>4</w:t>
      </w:r>
      <w:r>
        <w:rPr>
          <w:rFonts w:hint="eastAsia" w:ascii="宋体" w:hAnsi="宋体"/>
          <w:color w:val="auto"/>
          <w:kern w:val="0"/>
          <w:szCs w:val="21"/>
          <w:u w:val="single"/>
        </w:rPr>
        <w:t xml:space="preserve"> </w:t>
      </w:r>
      <w:r>
        <w:rPr>
          <w:rFonts w:hint="eastAsia" w:ascii="宋体" w:hAnsi="宋体"/>
          <w:color w:val="auto"/>
          <w:kern w:val="0"/>
          <w:szCs w:val="21"/>
        </w:rPr>
        <w:t>时</w:t>
      </w:r>
      <w:r>
        <w:rPr>
          <w:rFonts w:hint="eastAsia" w:ascii="宋体" w:hAnsi="宋体"/>
          <w:color w:val="auto"/>
          <w:kern w:val="0"/>
          <w:szCs w:val="21"/>
          <w:u w:val="single"/>
        </w:rPr>
        <w:t xml:space="preserve"> </w:t>
      </w:r>
      <w:r>
        <w:rPr>
          <w:rFonts w:hint="eastAsia" w:ascii="宋体" w:hAnsi="宋体"/>
          <w:color w:val="auto"/>
          <w:kern w:val="0"/>
          <w:szCs w:val="21"/>
          <w:u w:val="single"/>
          <w:lang w:val="en-US" w:eastAsia="zh-CN"/>
        </w:rPr>
        <w:t>5</w:t>
      </w:r>
      <w:r>
        <w:rPr>
          <w:rFonts w:hint="eastAsia" w:ascii="宋体" w:hAnsi="宋体"/>
          <w:color w:val="auto"/>
          <w:kern w:val="0"/>
          <w:szCs w:val="21"/>
          <w:u w:val="single"/>
        </w:rPr>
        <w:t xml:space="preserve">0 </w:t>
      </w:r>
      <w:r>
        <w:rPr>
          <w:rFonts w:hint="eastAsia" w:ascii="宋体" w:hAnsi="宋体"/>
          <w:color w:val="auto"/>
          <w:kern w:val="0"/>
          <w:szCs w:val="21"/>
        </w:rPr>
        <w:t>分前递交，截止时间为</w:t>
      </w:r>
      <w:r>
        <w:rPr>
          <w:rFonts w:hint="eastAsia" w:ascii="宋体" w:hAnsi="宋体"/>
          <w:color w:val="auto"/>
          <w:kern w:val="0"/>
          <w:szCs w:val="21"/>
          <w:u w:val="single"/>
        </w:rPr>
        <w:t xml:space="preserve"> 202</w:t>
      </w:r>
      <w:r>
        <w:rPr>
          <w:rFonts w:hint="eastAsia" w:ascii="宋体" w:hAnsi="宋体"/>
          <w:color w:val="auto"/>
          <w:kern w:val="0"/>
          <w:szCs w:val="21"/>
          <w:u w:val="single"/>
          <w:lang w:val="en-US" w:eastAsia="zh-CN"/>
        </w:rPr>
        <w:t>3</w:t>
      </w:r>
      <w:r>
        <w:rPr>
          <w:rFonts w:hint="eastAsia" w:ascii="宋体" w:hAnsi="宋体"/>
          <w:color w:val="auto"/>
          <w:kern w:val="0"/>
          <w:szCs w:val="21"/>
          <w:u w:val="single"/>
        </w:rPr>
        <w:t xml:space="preserve"> </w:t>
      </w:r>
      <w:r>
        <w:rPr>
          <w:rFonts w:hint="eastAsia" w:ascii="宋体" w:hAnsi="宋体"/>
          <w:color w:val="auto"/>
          <w:kern w:val="0"/>
          <w:szCs w:val="21"/>
        </w:rPr>
        <w:t>年</w:t>
      </w:r>
      <w:r>
        <w:rPr>
          <w:rFonts w:hint="eastAsia" w:ascii="宋体" w:hAnsi="宋体"/>
          <w:color w:val="auto"/>
          <w:kern w:val="0"/>
          <w:szCs w:val="21"/>
          <w:u w:val="single"/>
        </w:rPr>
        <w:t xml:space="preserve"> </w:t>
      </w:r>
      <w:r>
        <w:rPr>
          <w:rFonts w:hint="eastAsia" w:ascii="宋体" w:hAnsi="宋体"/>
          <w:color w:val="auto"/>
          <w:kern w:val="0"/>
          <w:szCs w:val="21"/>
          <w:u w:val="single"/>
          <w:lang w:val="en-US" w:eastAsia="zh-CN"/>
        </w:rPr>
        <w:t>6</w:t>
      </w:r>
      <w:r>
        <w:rPr>
          <w:rFonts w:hint="eastAsia" w:ascii="宋体" w:hAnsi="宋体"/>
          <w:color w:val="auto"/>
          <w:kern w:val="0"/>
          <w:szCs w:val="21"/>
        </w:rPr>
        <w:t>月</w:t>
      </w:r>
      <w:r>
        <w:rPr>
          <w:rFonts w:hint="eastAsia" w:ascii="宋体" w:hAnsi="宋体"/>
          <w:color w:val="auto"/>
          <w:kern w:val="0"/>
          <w:szCs w:val="21"/>
          <w:u w:val="single"/>
        </w:rPr>
        <w:t xml:space="preserve"> </w:t>
      </w:r>
      <w:r>
        <w:rPr>
          <w:rFonts w:hint="eastAsia" w:ascii="宋体" w:hAnsi="宋体"/>
          <w:color w:val="auto"/>
          <w:kern w:val="0"/>
          <w:szCs w:val="21"/>
          <w:u w:val="single"/>
          <w:lang w:val="en-US" w:eastAsia="zh-CN"/>
        </w:rPr>
        <w:t>27</w:t>
      </w:r>
      <w:r>
        <w:rPr>
          <w:rFonts w:hint="eastAsia" w:ascii="宋体" w:hAnsi="宋体"/>
          <w:color w:val="auto"/>
          <w:kern w:val="0"/>
          <w:szCs w:val="21"/>
        </w:rPr>
        <w:t>日</w:t>
      </w:r>
      <w:r>
        <w:rPr>
          <w:rFonts w:hint="eastAsia" w:ascii="宋体" w:hAnsi="宋体"/>
          <w:color w:val="auto"/>
          <w:kern w:val="0"/>
          <w:szCs w:val="21"/>
          <w:u w:val="single"/>
        </w:rPr>
        <w:t xml:space="preserve"> 1</w:t>
      </w:r>
      <w:r>
        <w:rPr>
          <w:rFonts w:hint="eastAsia" w:ascii="宋体" w:hAnsi="宋体"/>
          <w:color w:val="auto"/>
          <w:kern w:val="0"/>
          <w:szCs w:val="21"/>
          <w:u w:val="single"/>
          <w:lang w:val="en-US" w:eastAsia="zh-CN"/>
        </w:rPr>
        <w:t>4</w:t>
      </w:r>
      <w:r>
        <w:rPr>
          <w:rFonts w:hint="eastAsia" w:ascii="宋体" w:hAnsi="宋体"/>
          <w:color w:val="auto"/>
          <w:kern w:val="0"/>
          <w:szCs w:val="21"/>
          <w:u w:val="single"/>
        </w:rPr>
        <w:t xml:space="preserve"> </w:t>
      </w:r>
      <w:r>
        <w:rPr>
          <w:rFonts w:hint="eastAsia" w:ascii="宋体" w:hAnsi="宋体"/>
          <w:color w:val="auto"/>
          <w:kern w:val="0"/>
          <w:szCs w:val="21"/>
        </w:rPr>
        <w:t>时</w:t>
      </w:r>
      <w:r>
        <w:rPr>
          <w:rFonts w:hint="eastAsia" w:ascii="宋体" w:hAnsi="宋体"/>
          <w:color w:val="auto"/>
          <w:kern w:val="0"/>
          <w:szCs w:val="21"/>
          <w:u w:val="single"/>
        </w:rPr>
        <w:t xml:space="preserve"> </w:t>
      </w:r>
      <w:r>
        <w:rPr>
          <w:rFonts w:hint="eastAsia" w:ascii="宋体" w:hAnsi="宋体"/>
          <w:color w:val="auto"/>
          <w:kern w:val="0"/>
          <w:szCs w:val="21"/>
          <w:u w:val="single"/>
          <w:lang w:val="en-US" w:eastAsia="zh-CN"/>
        </w:rPr>
        <w:t>5</w:t>
      </w:r>
      <w:r>
        <w:rPr>
          <w:rFonts w:hint="eastAsia" w:ascii="宋体" w:hAnsi="宋体"/>
          <w:color w:val="auto"/>
          <w:kern w:val="0"/>
          <w:szCs w:val="21"/>
          <w:u w:val="single"/>
        </w:rPr>
        <w:t xml:space="preserve">0 </w:t>
      </w:r>
      <w:r>
        <w:rPr>
          <w:rFonts w:hint="eastAsia" w:ascii="宋体" w:hAnsi="宋体"/>
          <w:color w:val="auto"/>
          <w:kern w:val="0"/>
          <w:szCs w:val="21"/>
        </w:rPr>
        <w:t>分前，所有应答文件必须在规定的应答截止时间前按规定地址送达采购方，逾期恕不接受。</w:t>
      </w:r>
    </w:p>
    <w:p>
      <w:pPr>
        <w:widowControl/>
        <w:snapToGrid w:val="0"/>
        <w:spacing w:line="480" w:lineRule="auto"/>
        <w:ind w:firstLine="640"/>
        <w:rPr>
          <w:rFonts w:hint="eastAsia" w:ascii="宋体" w:hAnsi="宋体"/>
          <w:color w:val="auto"/>
          <w:kern w:val="0"/>
          <w:szCs w:val="21"/>
        </w:rPr>
      </w:pPr>
      <w:r>
        <w:rPr>
          <w:rFonts w:hint="eastAsia" w:ascii="宋体" w:hAnsi="宋体"/>
          <w:color w:val="auto"/>
          <w:kern w:val="0"/>
          <w:szCs w:val="21"/>
        </w:rPr>
        <w:t>九、注意事项：</w:t>
      </w:r>
    </w:p>
    <w:p>
      <w:pPr>
        <w:widowControl/>
        <w:snapToGrid w:val="0"/>
        <w:spacing w:line="480" w:lineRule="auto"/>
        <w:ind w:firstLine="640"/>
        <w:rPr>
          <w:rFonts w:hint="eastAsia" w:ascii="宋体" w:hAnsi="宋体"/>
          <w:color w:val="auto"/>
          <w:kern w:val="0"/>
          <w:szCs w:val="21"/>
        </w:rPr>
      </w:pPr>
      <w:r>
        <w:rPr>
          <w:rFonts w:hint="eastAsia" w:ascii="宋体" w:hAnsi="宋体"/>
          <w:color w:val="auto"/>
          <w:kern w:val="0"/>
          <w:szCs w:val="21"/>
        </w:rPr>
        <w:t>1、投标人必须全面响应采购文件要求，投标人任何附加条件采购人一律不接受或视为废标。</w:t>
      </w:r>
    </w:p>
    <w:p>
      <w:pPr>
        <w:widowControl/>
        <w:snapToGrid w:val="0"/>
        <w:spacing w:line="480" w:lineRule="auto"/>
        <w:ind w:firstLine="640"/>
        <w:rPr>
          <w:rFonts w:hint="eastAsia" w:ascii="宋体" w:hAnsi="宋体"/>
          <w:color w:val="auto"/>
          <w:kern w:val="0"/>
          <w:szCs w:val="21"/>
        </w:rPr>
      </w:pPr>
      <w:r>
        <w:rPr>
          <w:rFonts w:hint="eastAsia" w:ascii="宋体" w:hAnsi="宋体"/>
          <w:color w:val="auto"/>
          <w:kern w:val="0"/>
          <w:szCs w:val="21"/>
        </w:rPr>
        <w:t>2、中标单位严禁有挂靠或者违法转包行为。</w:t>
      </w:r>
    </w:p>
    <w:p>
      <w:pPr>
        <w:widowControl/>
        <w:snapToGrid w:val="0"/>
        <w:spacing w:line="480" w:lineRule="auto"/>
        <w:ind w:firstLine="640"/>
        <w:rPr>
          <w:rFonts w:hint="eastAsia" w:ascii="宋体" w:hAnsi="宋体"/>
          <w:color w:val="auto"/>
          <w:kern w:val="0"/>
          <w:szCs w:val="21"/>
        </w:rPr>
      </w:pPr>
      <w:r>
        <w:rPr>
          <w:rFonts w:hint="eastAsia" w:ascii="宋体" w:hAnsi="宋体"/>
          <w:color w:val="auto"/>
          <w:kern w:val="0"/>
          <w:szCs w:val="21"/>
        </w:rPr>
        <w:t>3、投标文件严禁出现不平衡报价。</w:t>
      </w:r>
    </w:p>
    <w:p>
      <w:pPr>
        <w:widowControl/>
        <w:snapToGrid w:val="0"/>
        <w:spacing w:line="480" w:lineRule="auto"/>
        <w:ind w:firstLine="640"/>
        <w:rPr>
          <w:rFonts w:hint="eastAsia" w:ascii="宋体" w:hAnsi="宋体"/>
          <w:color w:val="auto"/>
          <w:kern w:val="0"/>
          <w:szCs w:val="21"/>
        </w:rPr>
      </w:pPr>
      <w:r>
        <w:rPr>
          <w:rFonts w:hint="eastAsia" w:ascii="宋体" w:hAnsi="宋体"/>
          <w:color w:val="auto"/>
          <w:kern w:val="0"/>
          <w:szCs w:val="21"/>
        </w:rPr>
        <w:t>4、质量要求：现行的施工规范要求。</w:t>
      </w:r>
    </w:p>
    <w:p>
      <w:pPr>
        <w:widowControl/>
        <w:snapToGrid w:val="0"/>
        <w:spacing w:line="480" w:lineRule="auto"/>
        <w:ind w:firstLine="640"/>
        <w:rPr>
          <w:rFonts w:hint="eastAsia" w:ascii="宋体" w:hAnsi="宋体"/>
          <w:color w:val="auto"/>
          <w:kern w:val="0"/>
          <w:szCs w:val="21"/>
        </w:rPr>
      </w:pPr>
      <w:r>
        <w:rPr>
          <w:rFonts w:hint="eastAsia" w:ascii="宋体" w:hAnsi="宋体"/>
          <w:color w:val="auto"/>
          <w:kern w:val="0"/>
          <w:szCs w:val="21"/>
        </w:rPr>
        <w:t>十、采购文件获取：在莞建公司官网（http://www.dggcc.cn）和东实集团官网（http://dgsy.com.cn）获取。</w:t>
      </w:r>
    </w:p>
    <w:p>
      <w:pPr>
        <w:widowControl/>
        <w:snapToGrid w:val="0"/>
        <w:spacing w:line="480" w:lineRule="auto"/>
        <w:ind w:firstLine="640"/>
        <w:rPr>
          <w:rFonts w:hint="eastAsia" w:ascii="宋体" w:hAnsi="宋体"/>
          <w:color w:val="auto"/>
          <w:kern w:val="0"/>
          <w:szCs w:val="21"/>
        </w:rPr>
      </w:pPr>
      <w:r>
        <w:rPr>
          <w:rFonts w:hint="eastAsia" w:ascii="宋体" w:hAnsi="宋体"/>
          <w:color w:val="auto"/>
          <w:kern w:val="0"/>
          <w:szCs w:val="21"/>
        </w:rPr>
        <w:t xml:space="preserve">十一、有关此次采购答疑事宜，按下列地址以书面或电话形式向采购人查询：  </w:t>
      </w:r>
    </w:p>
    <w:p>
      <w:pPr>
        <w:widowControl/>
        <w:snapToGrid w:val="0"/>
        <w:spacing w:line="480" w:lineRule="auto"/>
        <w:ind w:firstLine="640"/>
        <w:rPr>
          <w:rFonts w:hint="eastAsia" w:ascii="宋体" w:hAnsi="宋体"/>
          <w:color w:val="auto"/>
          <w:kern w:val="0"/>
          <w:szCs w:val="21"/>
        </w:rPr>
      </w:pPr>
      <w:r>
        <w:rPr>
          <w:rFonts w:hint="eastAsia" w:ascii="宋体" w:hAnsi="宋体"/>
          <w:color w:val="auto"/>
          <w:kern w:val="0"/>
          <w:szCs w:val="21"/>
        </w:rPr>
        <w:t>采购人：东莞市莞城建筑工程有限公司</w:t>
      </w:r>
    </w:p>
    <w:p>
      <w:pPr>
        <w:widowControl/>
        <w:snapToGrid w:val="0"/>
        <w:spacing w:line="480" w:lineRule="auto"/>
        <w:ind w:firstLine="640"/>
        <w:rPr>
          <w:rFonts w:hint="eastAsia" w:ascii="宋体" w:hAnsi="宋体"/>
          <w:color w:val="auto"/>
          <w:kern w:val="0"/>
          <w:szCs w:val="21"/>
        </w:rPr>
      </w:pPr>
      <w:r>
        <w:rPr>
          <w:rFonts w:hint="eastAsia" w:ascii="宋体" w:hAnsi="宋体"/>
          <w:color w:val="auto"/>
          <w:kern w:val="0"/>
          <w:szCs w:val="21"/>
        </w:rPr>
        <w:t>地址：东莞市南城区城市风景街 莞建公司5楼 会议室</w:t>
      </w:r>
    </w:p>
    <w:p>
      <w:pPr>
        <w:widowControl/>
        <w:snapToGrid w:val="0"/>
        <w:spacing w:line="480" w:lineRule="auto"/>
        <w:ind w:firstLine="640"/>
        <w:rPr>
          <w:rFonts w:hint="default" w:ascii="宋体" w:hAnsi="宋体" w:eastAsia="宋体"/>
          <w:color w:val="auto"/>
          <w:kern w:val="0"/>
          <w:szCs w:val="21"/>
          <w:lang w:val="en-US" w:eastAsia="zh-CN"/>
        </w:rPr>
      </w:pPr>
      <w:r>
        <w:rPr>
          <w:rFonts w:hint="eastAsia" w:ascii="宋体" w:hAnsi="宋体"/>
          <w:color w:val="auto"/>
          <w:kern w:val="0"/>
          <w:szCs w:val="21"/>
        </w:rPr>
        <w:t>联系人：</w:t>
      </w:r>
      <w:r>
        <w:rPr>
          <w:rFonts w:hint="eastAsia" w:ascii="宋体" w:hAnsi="宋体"/>
          <w:color w:val="auto"/>
          <w:kern w:val="0"/>
          <w:szCs w:val="21"/>
          <w:lang w:val="en-US" w:eastAsia="zh-CN"/>
        </w:rPr>
        <w:t>姚生</w:t>
      </w:r>
      <w:r>
        <w:rPr>
          <w:rFonts w:hint="eastAsia" w:ascii="宋体" w:hAnsi="宋体"/>
          <w:color w:val="auto"/>
          <w:kern w:val="0"/>
          <w:szCs w:val="21"/>
        </w:rPr>
        <w:t xml:space="preserve">      联系方式：</w:t>
      </w:r>
      <w:r>
        <w:rPr>
          <w:rFonts w:hint="eastAsia" w:ascii="宋体" w:hAnsi="宋体"/>
          <w:color w:val="auto"/>
          <w:kern w:val="0"/>
          <w:szCs w:val="21"/>
          <w:lang w:val="en-US" w:eastAsia="zh-CN"/>
        </w:rPr>
        <w:t>13266159477</w:t>
      </w:r>
    </w:p>
    <w:p>
      <w:pPr>
        <w:widowControl/>
        <w:snapToGrid w:val="0"/>
        <w:spacing w:line="480" w:lineRule="auto"/>
        <w:ind w:firstLine="640"/>
        <w:rPr>
          <w:rFonts w:hint="eastAsia" w:ascii="宋体" w:hAnsi="宋体"/>
          <w:color w:val="auto"/>
          <w:kern w:val="0"/>
          <w:szCs w:val="21"/>
        </w:rPr>
      </w:pPr>
      <w:r>
        <w:rPr>
          <w:rFonts w:hint="eastAsia" w:ascii="宋体" w:hAnsi="宋体"/>
          <w:color w:val="auto"/>
          <w:kern w:val="0"/>
          <w:szCs w:val="21"/>
        </w:rPr>
        <w:t xml:space="preserve">邮政编码：523000    传真： </w:t>
      </w:r>
      <w:r>
        <w:rPr>
          <w:rFonts w:ascii="宋体" w:hAnsi="宋体"/>
          <w:color w:val="auto"/>
          <w:kern w:val="0"/>
          <w:szCs w:val="21"/>
        </w:rPr>
        <w:t>0769-3900</w:t>
      </w:r>
      <w:r>
        <w:rPr>
          <w:rFonts w:hint="eastAsia" w:ascii="宋体" w:hAnsi="宋体"/>
          <w:color w:val="auto"/>
          <w:kern w:val="0"/>
          <w:szCs w:val="21"/>
        </w:rPr>
        <w:t>8835</w:t>
      </w:r>
    </w:p>
    <w:p>
      <w:pPr>
        <w:widowControl/>
        <w:snapToGrid w:val="0"/>
        <w:spacing w:line="480" w:lineRule="auto"/>
        <w:ind w:firstLine="640"/>
        <w:jc w:val="right"/>
        <w:rPr>
          <w:rFonts w:hint="eastAsia" w:ascii="宋体" w:hAnsi="宋体"/>
          <w:color w:val="auto"/>
          <w:kern w:val="0"/>
          <w:szCs w:val="21"/>
        </w:rPr>
      </w:pPr>
    </w:p>
    <w:p>
      <w:pPr>
        <w:widowControl/>
        <w:snapToGrid w:val="0"/>
        <w:spacing w:line="480" w:lineRule="auto"/>
        <w:ind w:firstLine="640"/>
        <w:jc w:val="right"/>
        <w:rPr>
          <w:rFonts w:hint="eastAsia" w:ascii="宋体" w:hAnsi="宋体"/>
          <w:color w:val="auto"/>
          <w:kern w:val="0"/>
          <w:szCs w:val="21"/>
        </w:rPr>
      </w:pPr>
    </w:p>
    <w:p>
      <w:pPr>
        <w:widowControl/>
        <w:snapToGrid w:val="0"/>
        <w:spacing w:line="480" w:lineRule="auto"/>
        <w:ind w:firstLine="640"/>
        <w:jc w:val="right"/>
        <w:rPr>
          <w:rFonts w:hint="eastAsia" w:ascii="宋体" w:hAnsi="宋体"/>
          <w:color w:val="auto"/>
          <w:kern w:val="0"/>
          <w:szCs w:val="21"/>
        </w:rPr>
      </w:pPr>
      <w:r>
        <w:rPr>
          <w:rFonts w:hint="eastAsia" w:ascii="宋体" w:hAnsi="宋体"/>
          <w:color w:val="auto"/>
          <w:kern w:val="0"/>
          <w:szCs w:val="21"/>
        </w:rPr>
        <w:t>东莞市莞城建筑工程有限公司</w:t>
      </w:r>
    </w:p>
    <w:p>
      <w:pPr>
        <w:widowControl/>
        <w:snapToGrid w:val="0"/>
        <w:spacing w:line="480" w:lineRule="auto"/>
        <w:ind w:firstLine="640"/>
        <w:jc w:val="right"/>
        <w:rPr>
          <w:rFonts w:hint="eastAsia" w:ascii="宋体" w:hAnsi="宋体"/>
          <w:color w:val="auto"/>
          <w:kern w:val="0"/>
          <w:szCs w:val="21"/>
        </w:rPr>
      </w:pPr>
      <w:r>
        <w:rPr>
          <w:rFonts w:hint="eastAsia" w:ascii="宋体" w:hAnsi="宋体"/>
          <w:color w:val="auto"/>
          <w:kern w:val="0"/>
          <w:szCs w:val="21"/>
        </w:rPr>
        <w:t>202</w:t>
      </w:r>
      <w:r>
        <w:rPr>
          <w:rFonts w:hint="eastAsia" w:ascii="宋体" w:hAnsi="宋体"/>
          <w:color w:val="auto"/>
          <w:kern w:val="0"/>
          <w:szCs w:val="21"/>
          <w:lang w:val="en-US" w:eastAsia="zh-CN"/>
        </w:rPr>
        <w:t>3</w:t>
      </w:r>
      <w:r>
        <w:rPr>
          <w:rFonts w:hint="eastAsia" w:ascii="宋体" w:hAnsi="宋体"/>
          <w:color w:val="auto"/>
          <w:kern w:val="0"/>
          <w:szCs w:val="21"/>
        </w:rPr>
        <w:t>年</w:t>
      </w:r>
      <w:r>
        <w:rPr>
          <w:rFonts w:hint="eastAsia" w:ascii="宋体" w:hAnsi="宋体"/>
          <w:color w:val="auto"/>
          <w:kern w:val="0"/>
          <w:szCs w:val="21"/>
          <w:lang w:val="en-US" w:eastAsia="zh-CN"/>
        </w:rPr>
        <w:t>6</w:t>
      </w:r>
      <w:r>
        <w:rPr>
          <w:rFonts w:hint="eastAsia" w:ascii="宋体" w:hAnsi="宋体"/>
          <w:color w:val="auto"/>
          <w:kern w:val="0"/>
          <w:szCs w:val="21"/>
        </w:rPr>
        <w:t>月</w:t>
      </w:r>
      <w:r>
        <w:rPr>
          <w:rFonts w:hint="eastAsia" w:ascii="宋体" w:hAnsi="宋体"/>
          <w:color w:val="auto"/>
          <w:kern w:val="0"/>
          <w:szCs w:val="21"/>
          <w:u w:val="single"/>
          <w:lang w:val="en-US" w:eastAsia="zh-CN"/>
        </w:rPr>
        <w:t xml:space="preserve"> 21</w:t>
      </w:r>
      <w:bookmarkStart w:id="28" w:name="_GoBack"/>
      <w:bookmarkEnd w:id="28"/>
      <w:r>
        <w:rPr>
          <w:rFonts w:hint="eastAsia" w:ascii="宋体" w:hAnsi="宋体"/>
          <w:color w:val="auto"/>
          <w:kern w:val="0"/>
          <w:szCs w:val="21"/>
          <w:u w:val="single"/>
          <w:lang w:val="en-US" w:eastAsia="zh-CN"/>
        </w:rPr>
        <w:t xml:space="preserve"> </w:t>
      </w:r>
      <w:r>
        <w:rPr>
          <w:rFonts w:hint="eastAsia" w:ascii="宋体" w:hAnsi="宋体"/>
          <w:color w:val="auto"/>
          <w:kern w:val="0"/>
          <w:szCs w:val="21"/>
        </w:rPr>
        <w:t>日</w:t>
      </w:r>
    </w:p>
    <w:p>
      <w:pPr>
        <w:widowControl/>
        <w:snapToGrid w:val="0"/>
        <w:spacing w:line="480" w:lineRule="auto"/>
        <w:rPr>
          <w:rFonts w:hint="eastAsia" w:ascii="宋体" w:hAnsi="宋体"/>
          <w:b/>
          <w:bCs/>
          <w:color w:val="auto"/>
          <w:sz w:val="28"/>
          <w:szCs w:val="28"/>
        </w:rPr>
      </w:pPr>
      <w:r>
        <w:rPr>
          <w:rFonts w:ascii="宋体" w:hAnsi="宋体"/>
          <w:b/>
          <w:bCs/>
          <w:color w:val="auto"/>
          <w:sz w:val="28"/>
          <w:szCs w:val="28"/>
        </w:rPr>
        <w:br w:type="page"/>
      </w:r>
    </w:p>
    <w:p>
      <w:pPr>
        <w:widowControl/>
        <w:snapToGrid w:val="0"/>
        <w:spacing w:line="360" w:lineRule="auto"/>
        <w:jc w:val="center"/>
        <w:rPr>
          <w:rFonts w:hint="eastAsia" w:eastAsia="黑体"/>
          <w:b/>
          <w:bCs/>
          <w:color w:val="auto"/>
          <w:sz w:val="32"/>
        </w:rPr>
      </w:pPr>
      <w:r>
        <w:rPr>
          <w:rFonts w:hint="eastAsia" w:eastAsia="黑体"/>
          <w:b/>
          <w:bCs/>
          <w:color w:val="auto"/>
          <w:sz w:val="32"/>
        </w:rPr>
        <w:t>第二部分 投标前须知</w:t>
      </w:r>
    </w:p>
    <w:p>
      <w:pPr>
        <w:widowControl/>
        <w:snapToGrid w:val="0"/>
        <w:spacing w:line="360" w:lineRule="auto"/>
        <w:ind w:firstLine="525" w:firstLineChars="250"/>
        <w:rPr>
          <w:rFonts w:hint="eastAsia"/>
          <w:color w:val="auto"/>
          <w:kern w:val="0"/>
          <w:szCs w:val="21"/>
        </w:rPr>
      </w:pPr>
      <w:r>
        <w:rPr>
          <w:rFonts w:hint="eastAsia"/>
          <w:color w:val="auto"/>
          <w:kern w:val="0"/>
          <w:szCs w:val="21"/>
        </w:rPr>
        <w:t>一、投标人要求：</w:t>
      </w:r>
    </w:p>
    <w:p>
      <w:pPr>
        <w:widowControl/>
        <w:snapToGrid w:val="0"/>
        <w:spacing w:line="360" w:lineRule="auto"/>
        <w:ind w:left="525" w:leftChars="250"/>
        <w:rPr>
          <w:rFonts w:hint="eastAsia"/>
          <w:color w:val="auto"/>
          <w:kern w:val="0"/>
          <w:szCs w:val="21"/>
        </w:rPr>
      </w:pPr>
      <w:r>
        <w:rPr>
          <w:rFonts w:hint="eastAsia"/>
          <w:color w:val="auto"/>
          <w:kern w:val="0"/>
          <w:szCs w:val="21"/>
        </w:rPr>
        <w:t>1、</w:t>
      </w:r>
      <w:r>
        <w:rPr>
          <w:rFonts w:hint="eastAsia"/>
          <w:color w:val="auto"/>
          <w:kern w:val="0"/>
          <w:szCs w:val="21"/>
        </w:rPr>
        <w:t>投标单位需具备资质</w:t>
      </w:r>
      <w:r>
        <w:rPr>
          <w:rFonts w:hint="eastAsia"/>
          <w:color w:val="auto"/>
          <w:kern w:val="0"/>
          <w:szCs w:val="21"/>
        </w:rPr>
        <w:t>：具有法人资格的企业或其他组织（需提供营业执照或单位法人证书）</w:t>
      </w:r>
      <w:r>
        <w:rPr>
          <w:rFonts w:hint="eastAsia"/>
          <w:color w:val="auto"/>
          <w:kern w:val="0"/>
          <w:szCs w:val="21"/>
        </w:rPr>
        <w:t>。</w:t>
      </w:r>
    </w:p>
    <w:p>
      <w:pPr>
        <w:widowControl/>
        <w:snapToGrid w:val="0"/>
        <w:spacing w:line="360" w:lineRule="auto"/>
        <w:ind w:left="525" w:leftChars="250"/>
        <w:rPr>
          <w:rFonts w:hint="eastAsia"/>
          <w:color w:val="auto"/>
          <w:kern w:val="0"/>
          <w:szCs w:val="21"/>
        </w:rPr>
      </w:pPr>
      <w:r>
        <w:rPr>
          <w:rFonts w:hint="eastAsia"/>
          <w:b/>
          <w:color w:val="auto"/>
          <w:kern w:val="0"/>
          <w:szCs w:val="21"/>
        </w:rPr>
        <w:t>二、踏勘现场：</w:t>
      </w:r>
    </w:p>
    <w:p>
      <w:pPr>
        <w:widowControl/>
        <w:snapToGrid w:val="0"/>
        <w:spacing w:line="360" w:lineRule="auto"/>
        <w:ind w:firstLine="527" w:firstLineChars="250"/>
        <w:rPr>
          <w:rFonts w:hint="eastAsia"/>
          <w:b/>
          <w:color w:val="auto"/>
          <w:kern w:val="0"/>
          <w:szCs w:val="21"/>
        </w:rPr>
      </w:pPr>
      <w:r>
        <w:rPr>
          <w:rFonts w:hint="eastAsia"/>
          <w:b/>
          <w:color w:val="auto"/>
          <w:kern w:val="0"/>
          <w:szCs w:val="21"/>
        </w:rPr>
        <w:t>该项目需进行踏勘现场，请投标人于不少于投标截止日期两个日历天之前联系采购人到实地踏勘考察并领取现场踏勘证明。结合施工现场的实际情况进行施工组织设计,如因投标人未到现场踏勘，则取消该投标人投标资格。</w:t>
      </w:r>
    </w:p>
    <w:p>
      <w:pPr>
        <w:widowControl/>
        <w:snapToGrid w:val="0"/>
        <w:spacing w:line="360" w:lineRule="auto"/>
        <w:ind w:firstLine="525" w:firstLineChars="250"/>
        <w:rPr>
          <w:rFonts w:hint="eastAsia"/>
          <w:color w:val="auto"/>
          <w:kern w:val="0"/>
          <w:szCs w:val="21"/>
        </w:rPr>
      </w:pPr>
      <w:r>
        <w:rPr>
          <w:rFonts w:hint="eastAsia"/>
          <w:color w:val="auto"/>
          <w:kern w:val="0"/>
          <w:szCs w:val="21"/>
        </w:rPr>
        <w:t>三、合同签订时间：由中标人收到中标通知书后（30天内），与采购人签订合同。</w:t>
      </w:r>
    </w:p>
    <w:p>
      <w:pPr>
        <w:widowControl/>
        <w:snapToGrid w:val="0"/>
        <w:spacing w:line="360" w:lineRule="auto"/>
        <w:ind w:firstLine="527" w:firstLineChars="250"/>
        <w:rPr>
          <w:rFonts w:hint="eastAsia" w:ascii="宋体" w:hAnsi="宋体"/>
          <w:b/>
          <w:color w:val="auto"/>
          <w:szCs w:val="21"/>
        </w:rPr>
      </w:pPr>
      <w:r>
        <w:rPr>
          <w:rFonts w:hint="eastAsia"/>
          <w:b/>
          <w:color w:val="auto"/>
          <w:kern w:val="0"/>
          <w:szCs w:val="21"/>
        </w:rPr>
        <w:t>四、</w:t>
      </w:r>
      <w:r>
        <w:rPr>
          <w:rFonts w:hint="eastAsia" w:ascii="宋体" w:hAnsi="宋体"/>
          <w:b/>
          <w:color w:val="auto"/>
          <w:szCs w:val="21"/>
        </w:rPr>
        <w:t>结算原则</w:t>
      </w:r>
      <w:r>
        <w:rPr>
          <w:rFonts w:hint="eastAsia" w:ascii="宋体" w:hAnsi="宋体"/>
          <w:b/>
          <w:color w:val="auto"/>
          <w:szCs w:val="21"/>
        </w:rPr>
        <w:t>：</w:t>
      </w:r>
    </w:p>
    <w:p>
      <w:pPr>
        <w:widowControl/>
        <w:snapToGrid w:val="0"/>
        <w:spacing w:line="360" w:lineRule="auto"/>
        <w:ind w:firstLine="517" w:firstLineChars="245"/>
        <w:rPr>
          <w:rFonts w:hint="eastAsia"/>
          <w:b/>
          <w:color w:val="auto"/>
          <w:kern w:val="0"/>
          <w:szCs w:val="21"/>
        </w:rPr>
      </w:pPr>
      <w:r>
        <w:rPr>
          <w:rFonts w:hint="eastAsia"/>
          <w:b/>
          <w:color w:val="auto"/>
          <w:kern w:val="0"/>
          <w:szCs w:val="21"/>
        </w:rPr>
        <w:t>本工程为固定单价合同，工程量按双方确认的竣工图及签证变更资料按实计算，工程量计算执行2018年广东省建设工程计价依据，结算单价按投标人中标单价计算，税费按本合同约定发票类型及税率计取。</w:t>
      </w:r>
    </w:p>
    <w:p>
      <w:pPr>
        <w:widowControl/>
        <w:snapToGrid w:val="0"/>
        <w:spacing w:line="360" w:lineRule="auto"/>
        <w:ind w:firstLine="517" w:firstLineChars="245"/>
        <w:rPr>
          <w:rFonts w:hint="eastAsia"/>
          <w:b/>
          <w:color w:val="auto"/>
          <w:kern w:val="0"/>
          <w:szCs w:val="21"/>
        </w:rPr>
      </w:pPr>
      <w:r>
        <w:rPr>
          <w:rFonts w:hint="eastAsia"/>
          <w:b/>
          <w:color w:val="auto"/>
          <w:kern w:val="0"/>
          <w:szCs w:val="21"/>
        </w:rPr>
        <w:t>1、本工程投标报价为固定综合单价方式，该综合单价应包括人工费、设备费、材料费、机械费、管理费、规费、利润等，同时投标单位应充分考虑施工难度、赶工期、施工期间各类建材的市场风险和国家政策性调整以及施工条件确定风险系数计入综合单价。</w:t>
      </w:r>
    </w:p>
    <w:p>
      <w:pPr>
        <w:widowControl/>
        <w:snapToGrid w:val="0"/>
        <w:spacing w:line="360" w:lineRule="auto"/>
        <w:ind w:firstLine="517" w:firstLineChars="245"/>
        <w:rPr>
          <w:rFonts w:hint="eastAsia"/>
          <w:b/>
          <w:color w:val="auto"/>
          <w:kern w:val="0"/>
          <w:szCs w:val="21"/>
          <w:highlight w:val="none"/>
        </w:rPr>
      </w:pPr>
      <w:r>
        <w:rPr>
          <w:rFonts w:hint="eastAsia"/>
          <w:b/>
          <w:color w:val="auto"/>
          <w:kern w:val="0"/>
          <w:szCs w:val="21"/>
          <w:highlight w:val="none"/>
        </w:rPr>
        <w:t>2、综合单价已包含安全文明施工、施工扬尘污染防治、环境保护、安全措施、夜间施工降效、临时设施、现场内外水平及垂直运输费、检查整改费、窝工损失费、施工扰民费、交通费、冬雨季施工增加费、二次转运费、工完场清、工程竣工验收合格并移交甲方前的成品与半成品保护。</w:t>
      </w:r>
    </w:p>
    <w:p>
      <w:pPr>
        <w:widowControl/>
        <w:snapToGrid w:val="0"/>
        <w:spacing w:line="360" w:lineRule="auto"/>
        <w:ind w:firstLine="517" w:firstLineChars="245"/>
        <w:rPr>
          <w:rFonts w:hint="eastAsia"/>
          <w:b/>
          <w:color w:val="auto"/>
          <w:kern w:val="0"/>
          <w:szCs w:val="21"/>
        </w:rPr>
      </w:pPr>
      <w:r>
        <w:rPr>
          <w:rFonts w:hint="eastAsia"/>
          <w:b/>
          <w:color w:val="auto"/>
          <w:kern w:val="0"/>
          <w:szCs w:val="21"/>
        </w:rPr>
        <w:t>3、签证变更计价方式。（1）清单中有相同综合单价的，按清单中的相同综合单价计算；（2）清单中有类似综合单价的，按类似综合单价计算；（3）清单中没有适用或类似于变更工程的价格，双方协商、参考市场价。</w:t>
      </w:r>
    </w:p>
    <w:p>
      <w:pPr>
        <w:widowControl/>
        <w:snapToGrid w:val="0"/>
        <w:spacing w:line="360" w:lineRule="auto"/>
        <w:ind w:firstLine="517" w:firstLineChars="245"/>
        <w:rPr>
          <w:rFonts w:hint="eastAsia" w:ascii="宋体" w:hAnsi="宋体"/>
          <w:b/>
          <w:color w:val="auto"/>
          <w:szCs w:val="21"/>
        </w:rPr>
      </w:pPr>
      <w:r>
        <w:rPr>
          <w:rFonts w:hint="eastAsia"/>
          <w:b/>
          <w:color w:val="auto"/>
          <w:kern w:val="0"/>
          <w:szCs w:val="21"/>
        </w:rPr>
        <w:t>五</w:t>
      </w:r>
      <w:r>
        <w:rPr>
          <w:rFonts w:hint="eastAsia" w:ascii="宋体" w:hAnsi="宋体"/>
          <w:b/>
          <w:color w:val="auto"/>
          <w:szCs w:val="21"/>
        </w:rPr>
        <w:t>、工程付款方式：详见第四部分（合同文件）</w:t>
      </w:r>
    </w:p>
    <w:p>
      <w:pPr>
        <w:widowControl/>
        <w:snapToGrid w:val="0"/>
        <w:spacing w:line="360" w:lineRule="auto"/>
        <w:ind w:firstLine="527" w:firstLineChars="250"/>
        <w:rPr>
          <w:rFonts w:hint="eastAsia"/>
          <w:b/>
          <w:color w:val="auto"/>
          <w:kern w:val="0"/>
          <w:szCs w:val="21"/>
        </w:rPr>
      </w:pPr>
      <w:r>
        <w:rPr>
          <w:rFonts w:hint="eastAsia"/>
          <w:b/>
          <w:color w:val="auto"/>
          <w:kern w:val="0"/>
          <w:szCs w:val="21"/>
        </w:rPr>
        <w:t>六、采购文件份数：商务部分正本</w:t>
      </w:r>
      <w:r>
        <w:rPr>
          <w:rFonts w:hint="eastAsia"/>
          <w:b/>
          <w:color w:val="auto"/>
          <w:kern w:val="0"/>
          <w:szCs w:val="21"/>
          <w:u w:val="single"/>
        </w:rPr>
        <w:t>1</w:t>
      </w:r>
      <w:r>
        <w:rPr>
          <w:rFonts w:hint="eastAsia"/>
          <w:b/>
          <w:color w:val="auto"/>
          <w:kern w:val="0"/>
          <w:szCs w:val="21"/>
        </w:rPr>
        <w:t>份，副本</w:t>
      </w:r>
      <w:r>
        <w:rPr>
          <w:rFonts w:hint="eastAsia"/>
          <w:b/>
          <w:color w:val="auto"/>
          <w:kern w:val="0"/>
          <w:szCs w:val="21"/>
          <w:u w:val="single"/>
        </w:rPr>
        <w:t>1</w:t>
      </w:r>
      <w:r>
        <w:rPr>
          <w:rFonts w:hint="eastAsia"/>
          <w:b/>
          <w:color w:val="auto"/>
          <w:kern w:val="0"/>
          <w:szCs w:val="21"/>
        </w:rPr>
        <w:t>份，电子版本1份（U盘存储提交），技术部分由中标单位对现场进行详细勘查后提供给采购人。</w:t>
      </w:r>
    </w:p>
    <w:p>
      <w:pPr>
        <w:widowControl/>
        <w:snapToGrid w:val="0"/>
        <w:spacing w:line="360" w:lineRule="auto"/>
        <w:ind w:firstLine="527" w:firstLineChars="250"/>
        <w:rPr>
          <w:rFonts w:hint="eastAsia"/>
          <w:b/>
          <w:color w:val="auto"/>
          <w:szCs w:val="21"/>
        </w:rPr>
      </w:pPr>
      <w:r>
        <w:rPr>
          <w:rFonts w:hint="eastAsia"/>
          <w:b/>
          <w:color w:val="auto"/>
          <w:kern w:val="0"/>
          <w:szCs w:val="21"/>
        </w:rPr>
        <w:t>七、定标方式</w:t>
      </w:r>
      <w:r>
        <w:rPr>
          <w:rFonts w:hint="eastAsia"/>
          <w:b/>
          <w:color w:val="auto"/>
          <w:kern w:val="0"/>
          <w:szCs w:val="21"/>
        </w:rPr>
        <w:t>：</w:t>
      </w:r>
      <w:r>
        <w:rPr>
          <w:rFonts w:hint="eastAsia"/>
          <w:b/>
          <w:color w:val="auto"/>
          <w:szCs w:val="21"/>
        </w:rPr>
        <w:t>以最低价法（有效标中不含税价格最低者中标）确定中标单位。</w:t>
      </w:r>
    </w:p>
    <w:p>
      <w:pPr>
        <w:widowControl/>
        <w:snapToGrid w:val="0"/>
        <w:spacing w:line="360" w:lineRule="auto"/>
        <w:ind w:firstLine="527" w:firstLineChars="250"/>
        <w:rPr>
          <w:rFonts w:hint="eastAsia"/>
          <w:color w:val="auto"/>
          <w:kern w:val="0"/>
          <w:szCs w:val="21"/>
          <w:highlight w:val="none"/>
        </w:rPr>
      </w:pPr>
      <w:r>
        <w:rPr>
          <w:rFonts w:hint="eastAsia"/>
          <w:b/>
          <w:color w:val="auto"/>
          <w:szCs w:val="21"/>
          <w:highlight w:val="none"/>
        </w:rPr>
        <w:t>八、</w:t>
      </w:r>
      <w:r>
        <w:rPr>
          <w:rFonts w:hint="eastAsia"/>
          <w:color w:val="auto"/>
          <w:kern w:val="0"/>
          <w:szCs w:val="21"/>
          <w:highlight w:val="none"/>
        </w:rPr>
        <w:t>投标有效期：投标有效期为投标截止时间至其后的60天。</w:t>
      </w:r>
    </w:p>
    <w:p>
      <w:pPr>
        <w:widowControl/>
        <w:snapToGrid w:val="0"/>
        <w:spacing w:line="360" w:lineRule="auto"/>
        <w:ind w:firstLine="525" w:firstLineChars="250"/>
        <w:rPr>
          <w:rFonts w:hint="eastAsia"/>
          <w:b/>
          <w:bCs/>
          <w:color w:val="auto"/>
          <w:kern w:val="0"/>
          <w:szCs w:val="21"/>
          <w:highlight w:val="none"/>
        </w:rPr>
      </w:pPr>
      <w:r>
        <w:rPr>
          <w:rFonts w:hint="eastAsia"/>
          <w:color w:val="auto"/>
          <w:kern w:val="0"/>
          <w:szCs w:val="21"/>
          <w:highlight w:val="none"/>
          <w:lang w:val="en-US" w:eastAsia="zh-CN"/>
        </w:rPr>
        <w:t>九</w:t>
      </w:r>
      <w:r>
        <w:rPr>
          <w:rFonts w:hint="eastAsia"/>
          <w:color w:val="auto"/>
          <w:kern w:val="0"/>
          <w:szCs w:val="21"/>
          <w:highlight w:val="none"/>
        </w:rPr>
        <w:t>、如需勘察现场请联系采购方负责人</w:t>
      </w:r>
      <w:r>
        <w:rPr>
          <w:rFonts w:hint="eastAsia"/>
          <w:b/>
          <w:bCs/>
          <w:color w:val="auto"/>
          <w:kern w:val="0"/>
          <w:szCs w:val="21"/>
          <w:highlight w:val="none"/>
        </w:rPr>
        <w:t xml:space="preserve"> </w:t>
      </w:r>
      <w:r>
        <w:rPr>
          <w:rFonts w:hint="eastAsia"/>
          <w:b/>
          <w:bCs/>
          <w:color w:val="auto"/>
          <w:kern w:val="0"/>
          <w:szCs w:val="21"/>
          <w:highlight w:val="none"/>
          <w:lang w:val="en-US" w:eastAsia="zh-CN"/>
        </w:rPr>
        <w:t>张</w:t>
      </w:r>
      <w:r>
        <w:rPr>
          <w:rFonts w:hint="eastAsia"/>
          <w:b/>
          <w:bCs/>
          <w:color w:val="auto"/>
          <w:kern w:val="0"/>
          <w:szCs w:val="21"/>
          <w:highlight w:val="none"/>
        </w:rPr>
        <w:t>生  15989913590</w:t>
      </w:r>
    </w:p>
    <w:p>
      <w:pPr>
        <w:widowControl/>
        <w:snapToGrid w:val="0"/>
        <w:spacing w:line="360" w:lineRule="auto"/>
        <w:ind w:firstLine="525" w:firstLineChars="250"/>
        <w:rPr>
          <w:rFonts w:hint="eastAsia"/>
          <w:color w:val="auto"/>
        </w:rPr>
      </w:pPr>
      <w:r>
        <w:rPr>
          <w:rFonts w:hint="eastAsia"/>
          <w:color w:val="auto"/>
          <w:kern w:val="0"/>
          <w:szCs w:val="21"/>
        </w:rPr>
        <w:t>十、</w:t>
      </w:r>
      <w:r>
        <w:rPr>
          <w:rFonts w:hint="eastAsia"/>
          <w:color w:val="auto"/>
        </w:rPr>
        <w:t>废标规定：</w:t>
      </w:r>
    </w:p>
    <w:p>
      <w:pPr>
        <w:widowControl/>
        <w:snapToGrid w:val="0"/>
        <w:spacing w:line="360" w:lineRule="auto"/>
        <w:ind w:firstLine="525" w:firstLineChars="250"/>
        <w:rPr>
          <w:rFonts w:hint="eastAsia"/>
          <w:color w:val="auto"/>
        </w:rPr>
      </w:pPr>
      <w:r>
        <w:rPr>
          <w:rFonts w:hint="eastAsia"/>
          <w:color w:val="auto"/>
        </w:rPr>
        <w:t>（1）投标文件未密封和未按本采购文件要求装订的；</w:t>
      </w:r>
    </w:p>
    <w:p>
      <w:pPr>
        <w:widowControl/>
        <w:snapToGrid w:val="0"/>
        <w:spacing w:line="360" w:lineRule="auto"/>
        <w:ind w:firstLine="525" w:firstLineChars="250"/>
        <w:rPr>
          <w:rFonts w:hint="eastAsia"/>
          <w:color w:val="auto"/>
        </w:rPr>
      </w:pPr>
      <w:r>
        <w:rPr>
          <w:rFonts w:hint="eastAsia"/>
          <w:color w:val="auto"/>
        </w:rPr>
        <w:t>（2）未按采购文件要求编制、签字和盖章的；</w:t>
      </w:r>
    </w:p>
    <w:p>
      <w:pPr>
        <w:widowControl/>
        <w:snapToGrid w:val="0"/>
        <w:spacing w:line="360" w:lineRule="auto"/>
        <w:ind w:firstLine="525" w:firstLineChars="250"/>
        <w:rPr>
          <w:rFonts w:hint="eastAsia"/>
          <w:color w:val="auto"/>
        </w:rPr>
      </w:pPr>
      <w:r>
        <w:rPr>
          <w:rFonts w:hint="eastAsia"/>
          <w:color w:val="auto"/>
        </w:rPr>
        <w:t>（3）投标文件字迹模糊、无法辨认的；</w:t>
      </w:r>
    </w:p>
    <w:p>
      <w:pPr>
        <w:widowControl/>
        <w:snapToGrid w:val="0"/>
        <w:spacing w:line="360" w:lineRule="auto"/>
        <w:ind w:firstLine="525" w:firstLineChars="250"/>
        <w:rPr>
          <w:rFonts w:hint="eastAsia"/>
          <w:color w:val="auto"/>
        </w:rPr>
      </w:pPr>
      <w:r>
        <w:rPr>
          <w:rFonts w:hint="eastAsia"/>
          <w:color w:val="auto"/>
        </w:rPr>
        <w:t>（4）未按采购文件要求递交附件资料的</w:t>
      </w:r>
    </w:p>
    <w:p>
      <w:pPr>
        <w:widowControl/>
        <w:snapToGrid w:val="0"/>
        <w:spacing w:line="360" w:lineRule="auto"/>
        <w:ind w:firstLine="525" w:firstLineChars="250"/>
        <w:rPr>
          <w:rFonts w:hint="eastAsia"/>
          <w:color w:val="auto"/>
        </w:rPr>
      </w:pPr>
      <w:r>
        <w:rPr>
          <w:rFonts w:hint="eastAsia"/>
          <w:color w:val="auto"/>
        </w:rPr>
        <w:t xml:space="preserve">（5）投标文件中的投标报价高于投标最高限价； </w:t>
      </w:r>
    </w:p>
    <w:p>
      <w:pPr>
        <w:widowControl/>
        <w:snapToGrid w:val="0"/>
        <w:spacing w:line="360" w:lineRule="auto"/>
        <w:ind w:firstLine="525" w:firstLineChars="250"/>
        <w:rPr>
          <w:rFonts w:hint="eastAsia"/>
          <w:color w:val="auto"/>
        </w:rPr>
      </w:pPr>
      <w:r>
        <w:rPr>
          <w:rFonts w:hint="eastAsia"/>
          <w:color w:val="auto"/>
        </w:rPr>
        <w:t>（6）投标人递交两份或多份内容不同的投标文件，或在一份投标文件中对同一采购项目报有两个或多个报价，且未书面声明哪投标一个有效；</w:t>
      </w:r>
    </w:p>
    <w:p>
      <w:pPr>
        <w:widowControl/>
        <w:snapToGrid w:val="0"/>
        <w:spacing w:line="360" w:lineRule="auto"/>
        <w:ind w:firstLine="525" w:firstLineChars="250"/>
        <w:rPr>
          <w:rFonts w:hint="eastAsia"/>
          <w:color w:val="auto"/>
        </w:rPr>
      </w:pPr>
      <w:r>
        <w:rPr>
          <w:rFonts w:hint="eastAsia"/>
          <w:color w:val="auto"/>
        </w:rPr>
        <w:t>（7）投标文件没有对采购文件做出实质性响应；</w:t>
      </w:r>
    </w:p>
    <w:p>
      <w:pPr>
        <w:widowControl/>
        <w:snapToGrid w:val="0"/>
        <w:spacing w:line="360" w:lineRule="auto"/>
        <w:ind w:firstLine="525" w:firstLineChars="250"/>
        <w:rPr>
          <w:rFonts w:hint="eastAsia"/>
          <w:color w:val="auto"/>
        </w:rPr>
      </w:pPr>
      <w:r>
        <w:rPr>
          <w:rFonts w:hint="eastAsia"/>
          <w:color w:val="auto"/>
        </w:rPr>
        <w:t>（8）采购文件要求编制已标价的工程量清单时，投标人更改或删除工程量清单综合单价报价表内的项目或工程量，或工程量清单综合单价报价表缺页；</w:t>
      </w:r>
    </w:p>
    <w:p>
      <w:pPr>
        <w:widowControl/>
        <w:snapToGrid w:val="0"/>
        <w:spacing w:line="360" w:lineRule="auto"/>
        <w:ind w:firstLine="525" w:firstLineChars="250"/>
        <w:rPr>
          <w:rFonts w:hint="eastAsia"/>
          <w:color w:val="auto"/>
        </w:rPr>
      </w:pPr>
      <w:r>
        <w:rPr>
          <w:rFonts w:hint="eastAsia"/>
          <w:color w:val="auto"/>
        </w:rPr>
        <w:t>（9）投标文件里有出现采购文件规定以外的标记；</w:t>
      </w:r>
    </w:p>
    <w:p>
      <w:pPr>
        <w:widowControl/>
        <w:snapToGrid w:val="0"/>
        <w:spacing w:line="360" w:lineRule="auto"/>
        <w:ind w:firstLine="527" w:firstLineChars="250"/>
        <w:rPr>
          <w:b/>
          <w:color w:val="auto"/>
        </w:rPr>
      </w:pPr>
      <w:r>
        <w:rPr>
          <w:rFonts w:hint="eastAsia"/>
          <w:b/>
          <w:color w:val="auto"/>
          <w:kern w:val="0"/>
          <w:szCs w:val="21"/>
        </w:rPr>
        <w:t>（10）投标文件没按采购文件第三部分格式要求编写。（不可装订与该项目无相关的资料）</w:t>
      </w:r>
    </w:p>
    <w:p>
      <w:pPr>
        <w:widowControl/>
        <w:snapToGrid w:val="0"/>
        <w:spacing w:line="360" w:lineRule="auto"/>
        <w:ind w:firstLine="630" w:firstLineChars="300"/>
        <w:jc w:val="left"/>
        <w:rPr>
          <w:rFonts w:hint="eastAsia"/>
          <w:color w:val="auto"/>
        </w:rPr>
      </w:pPr>
      <w:r>
        <w:rPr>
          <w:rFonts w:hint="eastAsia"/>
          <w:color w:val="auto"/>
        </w:rPr>
        <w:t>十</w:t>
      </w:r>
      <w:r>
        <w:rPr>
          <w:rFonts w:hint="eastAsia"/>
          <w:color w:val="auto"/>
          <w:lang w:val="en-US" w:eastAsia="zh-CN"/>
        </w:rPr>
        <w:t>一</w:t>
      </w:r>
      <w:r>
        <w:rPr>
          <w:rFonts w:hint="eastAsia"/>
          <w:color w:val="auto"/>
        </w:rPr>
        <w:t>、其它：</w:t>
      </w:r>
    </w:p>
    <w:p>
      <w:pPr>
        <w:widowControl/>
        <w:snapToGrid w:val="0"/>
        <w:spacing w:line="360" w:lineRule="auto"/>
        <w:ind w:firstLine="525" w:firstLineChars="250"/>
        <w:rPr>
          <w:rFonts w:hint="eastAsia"/>
          <w:color w:val="auto"/>
        </w:rPr>
      </w:pPr>
      <w:r>
        <w:rPr>
          <w:rFonts w:hint="eastAsia"/>
          <w:color w:val="auto"/>
        </w:rPr>
        <w:t>（1）投标文件中“投标函”的投标总价与“工程量清单汇总表”中的含税工程造价报价不一致的；以“工程量清单汇总表”的投标总价为最终投标总价。</w:t>
      </w:r>
    </w:p>
    <w:p>
      <w:pPr>
        <w:widowControl/>
        <w:snapToGrid w:val="0"/>
        <w:spacing w:line="360" w:lineRule="auto"/>
        <w:ind w:firstLine="525" w:firstLineChars="250"/>
        <w:rPr>
          <w:rFonts w:hint="eastAsia"/>
          <w:color w:val="auto"/>
        </w:rPr>
      </w:pPr>
    </w:p>
    <w:p>
      <w:pPr>
        <w:widowControl/>
        <w:snapToGrid w:val="0"/>
        <w:spacing w:line="360" w:lineRule="auto"/>
        <w:ind w:firstLine="527" w:firstLineChars="250"/>
        <w:rPr>
          <w:rFonts w:hint="eastAsia"/>
          <w:b/>
          <w:color w:val="auto"/>
        </w:rPr>
      </w:pPr>
      <w:r>
        <w:rPr>
          <w:rFonts w:hint="eastAsia"/>
          <w:b/>
          <w:color w:val="auto"/>
        </w:rPr>
        <w:t>十</w:t>
      </w:r>
      <w:r>
        <w:rPr>
          <w:rFonts w:hint="eastAsia"/>
          <w:b/>
          <w:color w:val="auto"/>
          <w:lang w:val="en-US" w:eastAsia="zh-CN"/>
        </w:rPr>
        <w:t>二</w:t>
      </w:r>
      <w:r>
        <w:rPr>
          <w:rFonts w:hint="eastAsia"/>
          <w:b/>
          <w:color w:val="auto"/>
        </w:rPr>
        <w:t>、重新采购和不再采购</w:t>
      </w:r>
    </w:p>
    <w:p>
      <w:pPr>
        <w:widowControl/>
        <w:snapToGrid w:val="0"/>
        <w:spacing w:line="360" w:lineRule="auto"/>
        <w:ind w:firstLine="525" w:firstLineChars="250"/>
        <w:rPr>
          <w:rFonts w:hint="eastAsia"/>
          <w:color w:val="auto"/>
        </w:rPr>
      </w:pPr>
      <w:r>
        <w:rPr>
          <w:rFonts w:hint="eastAsia"/>
          <w:color w:val="auto"/>
        </w:rPr>
        <w:t>有下列情形之一的，采购人将不再重新采购：</w:t>
      </w:r>
    </w:p>
    <w:p>
      <w:pPr>
        <w:widowControl/>
        <w:snapToGrid w:val="0"/>
        <w:spacing w:line="360" w:lineRule="auto"/>
        <w:ind w:firstLine="525" w:firstLineChars="250"/>
        <w:rPr>
          <w:rFonts w:hint="eastAsia"/>
          <w:color w:val="auto"/>
        </w:rPr>
      </w:pPr>
      <w:r>
        <w:rPr>
          <w:rFonts w:hint="eastAsia"/>
          <w:color w:val="auto"/>
        </w:rPr>
        <w:t>（1）在投标截止时间之前提交投标文件的投标人少于3个的；</w:t>
      </w:r>
    </w:p>
    <w:p>
      <w:pPr>
        <w:widowControl/>
        <w:snapToGrid w:val="0"/>
        <w:spacing w:line="360" w:lineRule="auto"/>
        <w:ind w:firstLine="525" w:firstLineChars="250"/>
        <w:rPr>
          <w:rFonts w:hint="eastAsia"/>
          <w:color w:val="auto"/>
        </w:rPr>
      </w:pPr>
      <w:r>
        <w:rPr>
          <w:rFonts w:hint="eastAsia"/>
          <w:color w:val="auto"/>
        </w:rPr>
        <w:t>（2）经评议有效投标的投标人数量不足3个的；</w:t>
      </w:r>
    </w:p>
    <w:p>
      <w:pPr>
        <w:widowControl/>
        <w:snapToGrid w:val="0"/>
        <w:spacing w:line="360" w:lineRule="auto"/>
        <w:ind w:firstLine="525" w:firstLineChars="250"/>
        <w:rPr>
          <w:rFonts w:hint="eastAsia"/>
          <w:color w:val="auto"/>
        </w:rPr>
      </w:pPr>
      <w:r>
        <w:rPr>
          <w:rFonts w:hint="eastAsia"/>
          <w:color w:val="auto"/>
        </w:rPr>
        <w:t>（3）国家、省和招标文件规定的其他招标失败情形。</w:t>
      </w:r>
    </w:p>
    <w:p>
      <w:pPr>
        <w:widowControl/>
        <w:snapToGrid w:val="0"/>
        <w:spacing w:line="360" w:lineRule="auto"/>
        <w:ind w:firstLine="525" w:firstLineChars="250"/>
        <w:rPr>
          <w:rFonts w:hint="eastAsia"/>
          <w:color w:val="auto"/>
        </w:rPr>
      </w:pPr>
      <w:r>
        <w:rPr>
          <w:rFonts w:hint="eastAsia"/>
          <w:color w:val="auto"/>
        </w:rPr>
        <w:t>出现上述情形后， 招投标部应及时向招标采购小组报告，由招标采购小组根据实际情况对本次招标作出延缓招标工作或转为谈判（有效投标的投标人数量2个）、直接委托（有效投标的投标人数量1个）等方式。</w:t>
      </w:r>
    </w:p>
    <w:p>
      <w:pPr>
        <w:widowControl/>
        <w:snapToGrid w:val="0"/>
        <w:spacing w:line="360" w:lineRule="auto"/>
        <w:ind w:firstLine="525" w:firstLineChars="250"/>
        <w:rPr>
          <w:rFonts w:hint="eastAsia"/>
          <w:color w:val="auto"/>
        </w:rPr>
      </w:pPr>
      <w:r>
        <w:rPr>
          <w:rFonts w:hint="eastAsia"/>
          <w:color w:val="auto"/>
        </w:rPr>
        <w:t>谈判程序为：谈判小组（业主代表不少于3人）集中与单一投标单位分别进行谈判，并进行二次报价，谈判过程中的任何一方不得透露与谈判有关的其它投标单位的技术资料、价格或其它信息。</w:t>
      </w:r>
    </w:p>
    <w:p>
      <w:pPr>
        <w:widowControl/>
        <w:snapToGrid w:val="0"/>
        <w:spacing w:line="360" w:lineRule="auto"/>
        <w:ind w:firstLine="525" w:firstLineChars="250"/>
        <w:rPr>
          <w:rFonts w:hint="eastAsia"/>
          <w:color w:val="auto"/>
        </w:rPr>
      </w:pPr>
      <w:r>
        <w:rPr>
          <w:rFonts w:hint="eastAsia"/>
          <w:color w:val="auto"/>
        </w:rPr>
        <w:t>最终价低者中标。</w:t>
      </w:r>
    </w:p>
    <w:p>
      <w:pPr>
        <w:widowControl/>
        <w:snapToGrid w:val="0"/>
        <w:spacing w:line="360" w:lineRule="auto"/>
        <w:ind w:firstLine="527" w:firstLineChars="250"/>
        <w:rPr>
          <w:rFonts w:hint="eastAsia"/>
          <w:b/>
          <w:color w:val="auto"/>
          <w:kern w:val="0"/>
          <w:szCs w:val="21"/>
        </w:rPr>
      </w:pPr>
    </w:p>
    <w:p>
      <w:pPr>
        <w:widowControl/>
        <w:spacing w:line="360" w:lineRule="auto"/>
        <w:jc w:val="center"/>
        <w:rPr>
          <w:rFonts w:hint="eastAsia" w:hAnsi="宋体"/>
          <w:color w:val="auto"/>
          <w:kern w:val="0"/>
          <w:sz w:val="84"/>
          <w:szCs w:val="20"/>
        </w:rPr>
      </w:pPr>
    </w:p>
    <w:p>
      <w:pPr>
        <w:widowControl/>
        <w:spacing w:line="360" w:lineRule="auto"/>
        <w:jc w:val="center"/>
        <w:rPr>
          <w:rFonts w:hint="eastAsia" w:hAnsi="宋体"/>
          <w:color w:val="auto"/>
          <w:kern w:val="0"/>
          <w:sz w:val="84"/>
          <w:szCs w:val="20"/>
        </w:rPr>
      </w:pPr>
    </w:p>
    <w:p>
      <w:pPr>
        <w:widowControl/>
        <w:spacing w:line="360" w:lineRule="auto"/>
        <w:jc w:val="center"/>
        <w:rPr>
          <w:rFonts w:hint="eastAsia" w:hAnsi="宋体"/>
          <w:color w:val="auto"/>
          <w:kern w:val="0"/>
          <w:sz w:val="84"/>
          <w:szCs w:val="20"/>
        </w:rPr>
      </w:pPr>
    </w:p>
    <w:p>
      <w:pPr>
        <w:widowControl/>
        <w:spacing w:line="360" w:lineRule="auto"/>
        <w:rPr>
          <w:rFonts w:hint="eastAsia" w:hAnsi="宋体"/>
          <w:color w:val="auto"/>
          <w:kern w:val="0"/>
          <w:sz w:val="84"/>
          <w:szCs w:val="20"/>
        </w:rPr>
      </w:pPr>
    </w:p>
    <w:p>
      <w:pPr>
        <w:widowControl/>
        <w:spacing w:line="360" w:lineRule="auto"/>
        <w:rPr>
          <w:rFonts w:hint="eastAsia" w:hAnsi="宋体"/>
          <w:color w:val="auto"/>
          <w:kern w:val="0"/>
          <w:sz w:val="84"/>
          <w:szCs w:val="20"/>
        </w:rPr>
      </w:pPr>
    </w:p>
    <w:p>
      <w:pPr>
        <w:widowControl/>
        <w:spacing w:line="360" w:lineRule="auto"/>
        <w:rPr>
          <w:rFonts w:hint="eastAsia" w:hAnsi="宋体"/>
          <w:color w:val="auto"/>
          <w:kern w:val="0"/>
          <w:sz w:val="84"/>
          <w:szCs w:val="20"/>
        </w:rPr>
      </w:pPr>
    </w:p>
    <w:p>
      <w:pPr>
        <w:widowControl/>
        <w:spacing w:line="360" w:lineRule="auto"/>
        <w:rPr>
          <w:rFonts w:hint="eastAsia" w:hAnsi="宋体"/>
          <w:color w:val="auto"/>
          <w:kern w:val="0"/>
          <w:sz w:val="84"/>
          <w:szCs w:val="20"/>
        </w:rPr>
      </w:pPr>
    </w:p>
    <w:p>
      <w:pPr>
        <w:widowControl/>
        <w:spacing w:line="360" w:lineRule="auto"/>
        <w:rPr>
          <w:rFonts w:hint="eastAsia" w:hAnsi="宋体"/>
          <w:color w:val="auto"/>
          <w:kern w:val="0"/>
          <w:sz w:val="84"/>
          <w:szCs w:val="20"/>
        </w:rPr>
      </w:pPr>
    </w:p>
    <w:p>
      <w:pPr>
        <w:widowControl/>
        <w:snapToGrid w:val="0"/>
        <w:spacing w:line="360" w:lineRule="auto"/>
        <w:ind w:firstLine="803" w:firstLineChars="250"/>
        <w:jc w:val="center"/>
        <w:rPr>
          <w:rFonts w:hint="eastAsia" w:eastAsia="黑体"/>
          <w:b/>
          <w:bCs/>
          <w:color w:val="auto"/>
          <w:sz w:val="32"/>
        </w:rPr>
      </w:pPr>
      <w:r>
        <w:rPr>
          <w:rFonts w:hint="eastAsia" w:eastAsia="黑体"/>
          <w:b/>
          <w:bCs/>
          <w:color w:val="auto"/>
          <w:sz w:val="32"/>
        </w:rPr>
        <w:t>第三部分 投标文件（格式）</w:t>
      </w:r>
    </w:p>
    <w:p>
      <w:pPr>
        <w:widowControl/>
        <w:spacing w:line="360" w:lineRule="auto"/>
        <w:jc w:val="center"/>
        <w:rPr>
          <w:rFonts w:hint="eastAsia" w:hAnsi="宋体"/>
          <w:color w:val="auto"/>
          <w:kern w:val="0"/>
          <w:sz w:val="84"/>
          <w:szCs w:val="20"/>
        </w:rPr>
      </w:pPr>
    </w:p>
    <w:p>
      <w:pPr>
        <w:widowControl/>
        <w:spacing w:line="360" w:lineRule="auto"/>
        <w:jc w:val="center"/>
        <w:rPr>
          <w:rFonts w:hint="eastAsia" w:hAnsi="宋体"/>
          <w:color w:val="auto"/>
          <w:kern w:val="0"/>
          <w:sz w:val="84"/>
          <w:szCs w:val="20"/>
        </w:rPr>
      </w:pPr>
    </w:p>
    <w:p>
      <w:pPr>
        <w:widowControl/>
        <w:spacing w:line="360" w:lineRule="auto"/>
        <w:jc w:val="center"/>
        <w:rPr>
          <w:rFonts w:hint="eastAsia" w:hAnsi="宋体"/>
          <w:color w:val="auto"/>
          <w:kern w:val="0"/>
          <w:sz w:val="84"/>
          <w:szCs w:val="20"/>
        </w:rPr>
      </w:pPr>
    </w:p>
    <w:p>
      <w:pPr>
        <w:widowControl/>
        <w:spacing w:line="360" w:lineRule="auto"/>
        <w:jc w:val="center"/>
        <w:rPr>
          <w:rFonts w:hint="eastAsia" w:hAnsi="宋体"/>
          <w:color w:val="auto"/>
          <w:kern w:val="0"/>
          <w:sz w:val="84"/>
          <w:szCs w:val="20"/>
        </w:rPr>
      </w:pPr>
    </w:p>
    <w:p>
      <w:pPr>
        <w:widowControl/>
        <w:spacing w:line="360" w:lineRule="auto"/>
        <w:jc w:val="center"/>
        <w:rPr>
          <w:rFonts w:hint="eastAsia" w:hAnsi="宋体"/>
          <w:color w:val="auto"/>
          <w:kern w:val="0"/>
          <w:sz w:val="84"/>
          <w:szCs w:val="20"/>
        </w:rPr>
      </w:pPr>
    </w:p>
    <w:p>
      <w:pPr>
        <w:widowControl/>
        <w:spacing w:line="360" w:lineRule="auto"/>
        <w:jc w:val="center"/>
        <w:rPr>
          <w:rFonts w:hint="eastAsia" w:hAnsi="宋体"/>
          <w:color w:val="auto"/>
          <w:kern w:val="0"/>
          <w:sz w:val="84"/>
          <w:szCs w:val="20"/>
        </w:rPr>
      </w:pPr>
    </w:p>
    <w:p>
      <w:pPr>
        <w:widowControl/>
        <w:spacing w:line="360" w:lineRule="auto"/>
        <w:jc w:val="center"/>
        <w:rPr>
          <w:rFonts w:hint="eastAsia" w:hAnsi="宋体"/>
          <w:color w:val="auto"/>
          <w:kern w:val="0"/>
          <w:sz w:val="84"/>
          <w:szCs w:val="20"/>
        </w:rPr>
      </w:pPr>
    </w:p>
    <w:p>
      <w:pPr>
        <w:widowControl/>
        <w:spacing w:line="360" w:lineRule="auto"/>
        <w:jc w:val="center"/>
        <w:rPr>
          <w:rFonts w:hint="eastAsia" w:hAnsi="宋体"/>
          <w:color w:val="auto"/>
          <w:kern w:val="0"/>
          <w:sz w:val="84"/>
          <w:szCs w:val="20"/>
        </w:rPr>
      </w:pPr>
    </w:p>
    <w:p>
      <w:pPr>
        <w:widowControl/>
        <w:spacing w:line="360" w:lineRule="auto"/>
        <w:jc w:val="center"/>
        <w:rPr>
          <w:rFonts w:hint="eastAsia" w:hAnsi="宋体"/>
          <w:color w:val="auto"/>
          <w:kern w:val="0"/>
          <w:sz w:val="84"/>
          <w:szCs w:val="20"/>
        </w:rPr>
      </w:pPr>
      <w:r>
        <w:rPr>
          <w:rFonts w:hint="eastAsia" w:hAnsi="宋体"/>
          <w:color w:val="auto"/>
          <w:kern w:val="0"/>
          <w:sz w:val="84"/>
          <w:szCs w:val="20"/>
        </w:rPr>
        <w:t>投  标  文 件</w:t>
      </w:r>
    </w:p>
    <w:p>
      <w:pPr>
        <w:widowControl/>
        <w:spacing w:line="360" w:lineRule="auto"/>
        <w:ind w:left="980"/>
        <w:jc w:val="center"/>
        <w:rPr>
          <w:rFonts w:hint="eastAsia" w:hAnsi="宋体"/>
          <w:color w:val="auto"/>
          <w:kern w:val="0"/>
          <w:sz w:val="36"/>
          <w:szCs w:val="36"/>
        </w:rPr>
      </w:pPr>
      <w:r>
        <w:rPr>
          <w:rFonts w:hint="eastAsia" w:hAnsi="宋体"/>
          <w:color w:val="auto"/>
          <w:kern w:val="0"/>
          <w:sz w:val="36"/>
          <w:szCs w:val="36"/>
        </w:rPr>
        <w:t xml:space="preserve"> </w:t>
      </w:r>
    </w:p>
    <w:p>
      <w:pPr>
        <w:widowControl/>
        <w:spacing w:line="360" w:lineRule="auto"/>
        <w:ind w:left="980"/>
        <w:jc w:val="left"/>
        <w:rPr>
          <w:rFonts w:hint="eastAsia" w:hAnsi="宋体"/>
          <w:color w:val="auto"/>
          <w:kern w:val="0"/>
          <w:szCs w:val="20"/>
        </w:rPr>
      </w:pPr>
    </w:p>
    <w:p>
      <w:pPr>
        <w:widowControl/>
        <w:spacing w:line="360" w:lineRule="auto"/>
        <w:ind w:left="980"/>
        <w:jc w:val="left"/>
        <w:rPr>
          <w:rFonts w:hint="eastAsia" w:hAnsi="宋体"/>
          <w:color w:val="auto"/>
          <w:kern w:val="0"/>
          <w:szCs w:val="20"/>
        </w:rPr>
      </w:pPr>
    </w:p>
    <w:p>
      <w:pPr>
        <w:widowControl/>
        <w:spacing w:line="360" w:lineRule="auto"/>
        <w:ind w:left="980"/>
        <w:jc w:val="left"/>
        <w:rPr>
          <w:rFonts w:hint="eastAsia" w:hAnsi="宋体"/>
          <w:color w:val="auto"/>
          <w:kern w:val="0"/>
          <w:szCs w:val="20"/>
        </w:rPr>
      </w:pPr>
    </w:p>
    <w:p>
      <w:pPr>
        <w:widowControl/>
        <w:spacing w:line="360" w:lineRule="auto"/>
        <w:ind w:left="980"/>
        <w:jc w:val="left"/>
        <w:rPr>
          <w:rFonts w:hint="eastAsia" w:hAnsi="宋体"/>
          <w:color w:val="auto"/>
          <w:kern w:val="0"/>
          <w:szCs w:val="20"/>
        </w:rPr>
      </w:pPr>
    </w:p>
    <w:p>
      <w:pPr>
        <w:widowControl/>
        <w:spacing w:line="360" w:lineRule="auto"/>
        <w:ind w:left="980"/>
        <w:jc w:val="left"/>
        <w:rPr>
          <w:rFonts w:hint="eastAsia" w:hAnsi="宋体"/>
          <w:color w:val="auto"/>
          <w:kern w:val="0"/>
          <w:szCs w:val="20"/>
        </w:rPr>
      </w:pPr>
    </w:p>
    <w:p>
      <w:pPr>
        <w:widowControl/>
        <w:spacing w:line="360" w:lineRule="auto"/>
        <w:ind w:firstLine="2100" w:firstLineChars="700"/>
        <w:jc w:val="left"/>
        <w:rPr>
          <w:rFonts w:hint="eastAsia" w:hAnsi="宋体"/>
          <w:color w:val="auto"/>
          <w:kern w:val="0"/>
          <w:sz w:val="30"/>
          <w:szCs w:val="20"/>
        </w:rPr>
      </w:pPr>
      <w:r>
        <w:rPr>
          <w:rFonts w:hint="eastAsia" w:hAnsi="宋体"/>
          <w:color w:val="auto"/>
          <w:kern w:val="0"/>
          <w:sz w:val="30"/>
          <w:szCs w:val="20"/>
        </w:rPr>
        <w:t>采购编号：</w:t>
      </w:r>
      <w:r>
        <w:rPr>
          <w:rFonts w:hint="eastAsia" w:hAnsi="宋体"/>
          <w:color w:val="auto"/>
          <w:kern w:val="0"/>
          <w:sz w:val="30"/>
          <w:szCs w:val="20"/>
          <w:u w:val="single"/>
        </w:rPr>
        <w:t xml:space="preserve">                       </w:t>
      </w:r>
    </w:p>
    <w:p>
      <w:pPr>
        <w:widowControl/>
        <w:spacing w:line="360" w:lineRule="auto"/>
        <w:ind w:firstLine="2100" w:firstLineChars="700"/>
        <w:jc w:val="left"/>
        <w:rPr>
          <w:rFonts w:hint="eastAsia" w:hAnsi="宋体"/>
          <w:color w:val="auto"/>
          <w:kern w:val="0"/>
          <w:sz w:val="30"/>
          <w:szCs w:val="20"/>
          <w:u w:val="single"/>
        </w:rPr>
      </w:pPr>
      <w:r>
        <w:rPr>
          <w:rFonts w:hint="eastAsia" w:hAnsi="宋体"/>
          <w:color w:val="auto"/>
          <w:kern w:val="0"/>
          <w:sz w:val="30"/>
          <w:szCs w:val="20"/>
        </w:rPr>
        <w:t>项目名称：</w:t>
      </w:r>
      <w:r>
        <w:rPr>
          <w:rFonts w:hint="eastAsia" w:hAnsi="宋体"/>
          <w:color w:val="auto"/>
          <w:kern w:val="0"/>
          <w:sz w:val="30"/>
          <w:szCs w:val="20"/>
          <w:u w:val="single"/>
        </w:rPr>
        <w:t xml:space="preserve">                       </w:t>
      </w:r>
    </w:p>
    <w:p>
      <w:pPr>
        <w:widowControl/>
        <w:spacing w:line="360" w:lineRule="auto"/>
        <w:ind w:firstLine="2100" w:firstLineChars="700"/>
        <w:jc w:val="left"/>
        <w:rPr>
          <w:rFonts w:hint="eastAsia" w:hAnsi="宋体"/>
          <w:color w:val="auto"/>
          <w:kern w:val="0"/>
          <w:sz w:val="30"/>
          <w:szCs w:val="20"/>
        </w:rPr>
      </w:pPr>
      <w:r>
        <w:rPr>
          <w:rFonts w:hint="eastAsia" w:hAnsi="宋体"/>
          <w:color w:val="auto"/>
          <w:kern w:val="0"/>
          <w:sz w:val="30"/>
          <w:szCs w:val="20"/>
        </w:rPr>
        <w:t>投标文件内容：</w:t>
      </w:r>
      <w:r>
        <w:rPr>
          <w:rFonts w:hint="eastAsia" w:hAnsi="宋体"/>
          <w:color w:val="auto"/>
          <w:kern w:val="0"/>
          <w:sz w:val="30"/>
          <w:szCs w:val="20"/>
          <w:u w:val="single"/>
        </w:rPr>
        <w:t xml:space="preserve">     商务部分      </w:t>
      </w:r>
    </w:p>
    <w:p>
      <w:pPr>
        <w:widowControl/>
        <w:spacing w:line="360" w:lineRule="auto"/>
        <w:ind w:firstLine="2100" w:firstLineChars="700"/>
        <w:jc w:val="left"/>
        <w:rPr>
          <w:rFonts w:hint="eastAsia" w:hAnsi="宋体"/>
          <w:color w:val="auto"/>
          <w:kern w:val="0"/>
          <w:sz w:val="30"/>
          <w:szCs w:val="20"/>
        </w:rPr>
      </w:pPr>
      <w:r>
        <w:rPr>
          <w:rFonts w:hint="eastAsia" w:hAnsi="宋体"/>
          <w:color w:val="auto"/>
          <w:kern w:val="0"/>
          <w:sz w:val="30"/>
          <w:szCs w:val="20"/>
        </w:rPr>
        <w:t>采购人：</w:t>
      </w:r>
      <w:r>
        <w:rPr>
          <w:rFonts w:hint="eastAsia" w:hAnsi="宋体"/>
          <w:color w:val="auto"/>
          <w:kern w:val="0"/>
          <w:sz w:val="30"/>
          <w:szCs w:val="20"/>
          <w:u w:val="single"/>
        </w:rPr>
        <w:t xml:space="preserve">                         </w:t>
      </w:r>
    </w:p>
    <w:p>
      <w:pPr>
        <w:widowControl/>
        <w:spacing w:line="360" w:lineRule="auto"/>
        <w:ind w:firstLine="2100" w:firstLineChars="700"/>
        <w:jc w:val="left"/>
        <w:rPr>
          <w:rFonts w:hint="eastAsia" w:hAnsi="宋体"/>
          <w:color w:val="auto"/>
          <w:kern w:val="0"/>
          <w:sz w:val="30"/>
          <w:szCs w:val="20"/>
          <w:u w:val="single"/>
        </w:rPr>
      </w:pPr>
      <w:r>
        <w:rPr>
          <w:rFonts w:hint="eastAsia" w:hAnsi="宋体"/>
          <w:color w:val="auto"/>
          <w:kern w:val="0"/>
          <w:sz w:val="30"/>
          <w:szCs w:val="20"/>
        </w:rPr>
        <w:t>投标人：</w:t>
      </w:r>
      <w:r>
        <w:rPr>
          <w:rFonts w:hint="eastAsia" w:hAnsi="宋体"/>
          <w:color w:val="auto"/>
          <w:kern w:val="0"/>
          <w:sz w:val="30"/>
          <w:szCs w:val="20"/>
          <w:u w:val="single"/>
        </w:rPr>
        <w:t xml:space="preserve">       （盖公司法人公章）</w:t>
      </w:r>
    </w:p>
    <w:p>
      <w:pPr>
        <w:widowControl/>
        <w:spacing w:line="360" w:lineRule="auto"/>
        <w:ind w:firstLine="2100" w:firstLineChars="700"/>
        <w:jc w:val="left"/>
        <w:rPr>
          <w:rFonts w:hint="eastAsia" w:hAnsi="宋体"/>
          <w:color w:val="auto"/>
          <w:kern w:val="0"/>
          <w:sz w:val="30"/>
          <w:szCs w:val="20"/>
        </w:rPr>
      </w:pPr>
      <w:r>
        <w:rPr>
          <w:rFonts w:hint="eastAsia" w:hAnsi="宋体"/>
          <w:color w:val="auto"/>
          <w:kern w:val="0"/>
          <w:sz w:val="30"/>
          <w:szCs w:val="20"/>
        </w:rPr>
        <w:t>日  期：</w:t>
      </w:r>
      <w:r>
        <w:rPr>
          <w:rFonts w:hint="eastAsia" w:hAnsi="宋体"/>
          <w:color w:val="auto"/>
          <w:kern w:val="0"/>
          <w:sz w:val="30"/>
          <w:szCs w:val="20"/>
          <w:u w:val="single"/>
        </w:rPr>
        <w:t xml:space="preserve">          年     月    日</w:t>
      </w:r>
    </w:p>
    <w:p>
      <w:pPr>
        <w:widowControl/>
        <w:spacing w:line="360" w:lineRule="auto"/>
        <w:ind w:firstLine="2100" w:firstLineChars="700"/>
        <w:jc w:val="left"/>
        <w:rPr>
          <w:rFonts w:hint="eastAsia" w:hAnsi="宋体"/>
          <w:color w:val="auto"/>
          <w:kern w:val="0"/>
          <w:sz w:val="30"/>
          <w:szCs w:val="20"/>
        </w:rPr>
      </w:pPr>
    </w:p>
    <w:p>
      <w:pPr>
        <w:spacing w:line="360" w:lineRule="auto"/>
        <w:rPr>
          <w:rFonts w:hint="eastAsia" w:ascii="宋体" w:hAnsi="宋体"/>
          <w:color w:val="auto"/>
          <w:szCs w:val="21"/>
        </w:rPr>
      </w:pPr>
      <w:r>
        <w:rPr>
          <w:rFonts w:hint="eastAsia" w:ascii="宋体" w:hAnsi="宋体"/>
          <w:color w:val="auto"/>
          <w:szCs w:val="21"/>
        </w:rPr>
        <w:t xml:space="preserve"> </w:t>
      </w:r>
    </w:p>
    <w:p>
      <w:pPr>
        <w:keepNext/>
        <w:keepLines/>
        <w:tabs>
          <w:tab w:val="left" w:pos="720"/>
        </w:tabs>
        <w:spacing w:before="260" w:after="260" w:line="413" w:lineRule="auto"/>
        <w:outlineLvl w:val="2"/>
        <w:rPr>
          <w:rFonts w:hint="eastAsia" w:ascii="宋体" w:hAnsi="宋体"/>
          <w:b/>
          <w:color w:val="auto"/>
          <w:sz w:val="32"/>
          <w:szCs w:val="20"/>
        </w:rPr>
      </w:pPr>
      <w:r>
        <w:rPr>
          <w:rFonts w:ascii="仿宋_GB2312" w:hAnsi="Times" w:eastAsia="仿宋_GB2312"/>
          <w:b/>
          <w:color w:val="auto"/>
          <w:sz w:val="32"/>
          <w:szCs w:val="20"/>
        </w:rPr>
        <w:br w:type="page"/>
      </w:r>
      <w:bookmarkStart w:id="0" w:name="_Toc369339230"/>
      <w:bookmarkStart w:id="1" w:name="_Toc206142697"/>
      <w:bookmarkStart w:id="2" w:name="_Toc367273902"/>
      <w:bookmarkStart w:id="3" w:name="_Toc188989187"/>
      <w:bookmarkStart w:id="4" w:name="_Toc367273960"/>
      <w:bookmarkStart w:id="5" w:name="_Toc309224393"/>
      <w:bookmarkStart w:id="6" w:name="_Toc289852510"/>
      <w:bookmarkStart w:id="7" w:name="_Toc371174877"/>
      <w:bookmarkStart w:id="8" w:name="_Toc417479595"/>
      <w:bookmarkStart w:id="9" w:name="_Toc222777564"/>
      <w:bookmarkStart w:id="10" w:name="_Toc417479598"/>
      <w:bookmarkStart w:id="11" w:name="_Toc395016248"/>
      <w:bookmarkStart w:id="12" w:name="_Toc222777565"/>
      <w:bookmarkStart w:id="13" w:name="_Toc289852512"/>
      <w:bookmarkStart w:id="14" w:name="_Toc206142698"/>
      <w:bookmarkStart w:id="15" w:name="_Toc188989188"/>
      <w:r>
        <w:rPr>
          <w:rFonts w:hint="eastAsia" w:ascii="宋体" w:hAnsi="宋体"/>
          <w:b/>
          <w:color w:val="auto"/>
          <w:sz w:val="32"/>
          <w:szCs w:val="20"/>
        </w:rPr>
        <w:t xml:space="preserve">附件1：         </w:t>
      </w:r>
    </w:p>
    <w:p>
      <w:pPr>
        <w:keepNext/>
        <w:keepLines/>
        <w:tabs>
          <w:tab w:val="left" w:pos="720"/>
        </w:tabs>
        <w:spacing w:before="260" w:after="260" w:line="413" w:lineRule="auto"/>
        <w:jc w:val="center"/>
        <w:outlineLvl w:val="2"/>
        <w:rPr>
          <w:rFonts w:ascii="宋体" w:hAnsi="宋体"/>
          <w:b/>
          <w:color w:val="auto"/>
          <w:sz w:val="32"/>
          <w:szCs w:val="20"/>
        </w:rPr>
      </w:pPr>
      <w:r>
        <w:rPr>
          <w:rFonts w:hint="eastAsia" w:ascii="宋体" w:hAnsi="宋体"/>
          <w:b/>
          <w:color w:val="auto"/>
          <w:sz w:val="32"/>
          <w:szCs w:val="20"/>
        </w:rPr>
        <w:t>法定代表人身份证明书</w:t>
      </w:r>
      <w:bookmarkEnd w:id="0"/>
      <w:bookmarkEnd w:id="1"/>
      <w:bookmarkEnd w:id="2"/>
      <w:bookmarkEnd w:id="3"/>
      <w:bookmarkEnd w:id="4"/>
      <w:bookmarkEnd w:id="5"/>
      <w:bookmarkEnd w:id="6"/>
      <w:bookmarkEnd w:id="7"/>
      <w:bookmarkEnd w:id="8"/>
      <w:bookmarkEnd w:id="9"/>
    </w:p>
    <w:p>
      <w:pPr>
        <w:spacing w:line="360" w:lineRule="auto"/>
        <w:rPr>
          <w:rFonts w:ascii="宋体" w:hAnsi="宋体"/>
          <w:b/>
          <w:color w:val="auto"/>
        </w:rPr>
      </w:pPr>
    </w:p>
    <w:p>
      <w:pPr>
        <w:ind w:firstLine="612"/>
        <w:rPr>
          <w:rFonts w:hint="eastAsia" w:ascii="宋体" w:hAnsi="宋体"/>
          <w:color w:val="auto"/>
          <w:sz w:val="24"/>
        </w:rPr>
      </w:pPr>
      <w:r>
        <w:rPr>
          <w:rFonts w:hint="eastAsia" w:ascii="宋体" w:hAnsi="宋体"/>
          <w:color w:val="auto"/>
          <w:sz w:val="24"/>
        </w:rPr>
        <w:t>单位名称：</w:t>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ab/>
      </w:r>
    </w:p>
    <w:p>
      <w:pPr>
        <w:ind w:firstLine="612"/>
        <w:rPr>
          <w:rFonts w:ascii="宋体" w:hAnsi="宋体"/>
          <w:color w:val="auto"/>
          <w:sz w:val="24"/>
        </w:rPr>
      </w:pPr>
    </w:p>
    <w:p>
      <w:pPr>
        <w:ind w:firstLine="610"/>
        <w:rPr>
          <w:rFonts w:hint="eastAsia" w:ascii="宋体" w:hAnsi="宋体"/>
          <w:color w:val="auto"/>
          <w:sz w:val="24"/>
          <w:u w:val="single"/>
        </w:rPr>
      </w:pPr>
      <w:r>
        <w:rPr>
          <w:rFonts w:hint="eastAsia" w:ascii="宋体" w:hAnsi="宋体"/>
          <w:color w:val="auto"/>
          <w:sz w:val="24"/>
        </w:rPr>
        <w:t>单位性质：</w:t>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ab/>
      </w:r>
    </w:p>
    <w:p>
      <w:pPr>
        <w:ind w:firstLine="610"/>
        <w:rPr>
          <w:rFonts w:ascii="宋体" w:hAnsi="宋体"/>
          <w:color w:val="auto"/>
          <w:sz w:val="24"/>
        </w:rPr>
      </w:pPr>
    </w:p>
    <w:p>
      <w:pPr>
        <w:ind w:firstLine="610"/>
        <w:rPr>
          <w:rFonts w:hint="eastAsia" w:ascii="宋体" w:hAnsi="宋体"/>
          <w:color w:val="auto"/>
          <w:sz w:val="24"/>
          <w:u w:val="single"/>
        </w:rPr>
      </w:pPr>
      <w:r>
        <w:rPr>
          <w:rFonts w:hint="eastAsia" w:ascii="宋体" w:hAnsi="宋体"/>
          <w:color w:val="auto"/>
          <w:sz w:val="24"/>
        </w:rPr>
        <w:t>地</w:t>
      </w:r>
      <w:r>
        <w:rPr>
          <w:rFonts w:ascii="宋体" w:hAnsi="宋体"/>
          <w:color w:val="auto"/>
          <w:sz w:val="24"/>
        </w:rPr>
        <w:t xml:space="preserve">    址：</w:t>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 xml:space="preserve">  </w:t>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 xml:space="preserve">       </w:t>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ab/>
      </w:r>
    </w:p>
    <w:p>
      <w:pPr>
        <w:ind w:firstLine="610"/>
        <w:rPr>
          <w:rFonts w:ascii="宋体" w:hAnsi="宋体"/>
          <w:color w:val="auto"/>
          <w:sz w:val="24"/>
        </w:rPr>
      </w:pPr>
    </w:p>
    <w:p>
      <w:pPr>
        <w:ind w:firstLine="610"/>
        <w:rPr>
          <w:rFonts w:ascii="宋体" w:hAnsi="宋体"/>
          <w:color w:val="auto"/>
          <w:sz w:val="24"/>
        </w:rPr>
      </w:pPr>
      <w:r>
        <w:rPr>
          <w:rFonts w:hint="eastAsia" w:ascii="宋体" w:hAnsi="宋体"/>
          <w:color w:val="auto"/>
          <w:sz w:val="24"/>
        </w:rPr>
        <w:t>成立时间：</w:t>
      </w:r>
      <w:r>
        <w:rPr>
          <w:rFonts w:ascii="宋体" w:hAnsi="宋体"/>
          <w:color w:val="auto"/>
          <w:sz w:val="24"/>
          <w:u w:val="single"/>
        </w:rPr>
        <w:t xml:space="preserve">        </w:t>
      </w:r>
      <w:r>
        <w:rPr>
          <w:rFonts w:hint="eastAsia" w:ascii="宋体" w:hAnsi="宋体"/>
          <w:color w:val="auto"/>
          <w:sz w:val="24"/>
          <w:u w:val="single"/>
        </w:rPr>
        <w:t xml:space="preserve"> </w:t>
      </w:r>
      <w:r>
        <w:rPr>
          <w:rFonts w:ascii="宋体" w:hAnsi="宋体"/>
          <w:color w:val="auto"/>
          <w:sz w:val="24"/>
          <w:u w:val="single"/>
        </w:rPr>
        <w:t xml:space="preserve">   </w:t>
      </w:r>
      <w:r>
        <w:rPr>
          <w:rFonts w:hint="eastAsia" w:ascii="宋体" w:hAnsi="宋体"/>
          <w:color w:val="auto"/>
          <w:sz w:val="24"/>
        </w:rPr>
        <w:t>年</w:t>
      </w:r>
      <w:r>
        <w:rPr>
          <w:rFonts w:ascii="宋体" w:hAnsi="宋体"/>
          <w:color w:val="auto"/>
          <w:sz w:val="24"/>
          <w:u w:val="single"/>
        </w:rPr>
        <w:t xml:space="preserve">       </w:t>
      </w:r>
      <w:r>
        <w:rPr>
          <w:rFonts w:hint="eastAsia" w:ascii="宋体" w:hAnsi="宋体"/>
          <w:color w:val="auto"/>
          <w:sz w:val="24"/>
        </w:rPr>
        <w:t>月</w:t>
      </w:r>
      <w:r>
        <w:rPr>
          <w:rFonts w:ascii="宋体" w:hAnsi="宋体"/>
          <w:color w:val="auto"/>
          <w:sz w:val="24"/>
          <w:u w:val="single"/>
        </w:rPr>
        <w:t xml:space="preserve">         </w:t>
      </w:r>
      <w:r>
        <w:rPr>
          <w:rFonts w:hint="eastAsia" w:ascii="宋体" w:hAnsi="宋体"/>
          <w:color w:val="auto"/>
          <w:sz w:val="24"/>
        </w:rPr>
        <w:t>日</w:t>
      </w:r>
    </w:p>
    <w:p>
      <w:pPr>
        <w:ind w:firstLine="610"/>
        <w:rPr>
          <w:rFonts w:ascii="宋体" w:hAnsi="宋体"/>
          <w:color w:val="auto"/>
          <w:sz w:val="24"/>
        </w:rPr>
      </w:pPr>
    </w:p>
    <w:p>
      <w:pPr>
        <w:ind w:firstLine="610"/>
        <w:rPr>
          <w:rFonts w:hint="eastAsia" w:ascii="宋体" w:hAnsi="宋体"/>
          <w:color w:val="auto"/>
          <w:sz w:val="24"/>
          <w:u w:val="single"/>
        </w:rPr>
      </w:pPr>
      <w:r>
        <w:rPr>
          <w:rFonts w:hint="eastAsia" w:ascii="宋体" w:hAnsi="宋体"/>
          <w:color w:val="auto"/>
          <w:sz w:val="24"/>
        </w:rPr>
        <w:t>经营期限：</w:t>
      </w:r>
      <w:r>
        <w:rPr>
          <w:rFonts w:hint="eastAsia" w:ascii="宋体" w:hAnsi="宋体"/>
          <w:color w:val="auto"/>
          <w:sz w:val="24"/>
          <w:u w:val="single"/>
        </w:rPr>
        <w:tab/>
      </w:r>
      <w:r>
        <w:rPr>
          <w:rFonts w:hint="eastAsia" w:ascii="宋体" w:hAnsi="宋体"/>
          <w:color w:val="auto"/>
          <w:sz w:val="24"/>
          <w:u w:val="single"/>
        </w:rPr>
        <w:t xml:space="preserve">                                                </w:t>
      </w:r>
      <w:r>
        <w:rPr>
          <w:rFonts w:hint="eastAsia" w:ascii="宋体" w:hAnsi="宋体"/>
          <w:color w:val="auto"/>
          <w:sz w:val="24"/>
          <w:u w:val="single"/>
        </w:rPr>
        <w:tab/>
      </w:r>
    </w:p>
    <w:p>
      <w:pPr>
        <w:ind w:firstLine="610"/>
        <w:rPr>
          <w:rFonts w:ascii="宋体" w:hAnsi="宋体"/>
          <w:color w:val="auto"/>
          <w:sz w:val="24"/>
        </w:rPr>
      </w:pPr>
    </w:p>
    <w:p>
      <w:pPr>
        <w:ind w:firstLine="610"/>
        <w:rPr>
          <w:rFonts w:hint="eastAsia" w:ascii="宋体" w:hAnsi="宋体"/>
          <w:color w:val="auto"/>
          <w:sz w:val="24"/>
          <w:u w:val="single"/>
        </w:rPr>
      </w:pPr>
      <w:r>
        <w:rPr>
          <w:rFonts w:hint="eastAsia" w:ascii="宋体" w:hAnsi="宋体"/>
          <w:color w:val="auto"/>
          <w:sz w:val="24"/>
        </w:rPr>
        <w:t>姓</w:t>
      </w:r>
      <w:r>
        <w:rPr>
          <w:rFonts w:ascii="宋体" w:hAnsi="宋体"/>
          <w:color w:val="auto"/>
          <w:sz w:val="24"/>
        </w:rPr>
        <w:t xml:space="preserve">    名：</w:t>
      </w:r>
      <w:r>
        <w:rPr>
          <w:rFonts w:ascii="宋体" w:hAnsi="宋体"/>
          <w:color w:val="auto"/>
          <w:sz w:val="24"/>
          <w:u w:val="single"/>
        </w:rPr>
        <w:t xml:space="preserve">          </w:t>
      </w:r>
      <w:r>
        <w:rPr>
          <w:rFonts w:ascii="宋体" w:hAnsi="宋体"/>
          <w:color w:val="auto"/>
          <w:sz w:val="24"/>
        </w:rPr>
        <w:t xml:space="preserve"> 性别：</w:t>
      </w:r>
      <w:r>
        <w:rPr>
          <w:rFonts w:ascii="宋体" w:hAnsi="宋体"/>
          <w:color w:val="auto"/>
          <w:sz w:val="24"/>
          <w:u w:val="single"/>
        </w:rPr>
        <w:t xml:space="preserve">      </w:t>
      </w:r>
      <w:r>
        <w:rPr>
          <w:rFonts w:ascii="宋体" w:hAnsi="宋体"/>
          <w:color w:val="auto"/>
          <w:sz w:val="24"/>
        </w:rPr>
        <w:t>年龄：</w:t>
      </w:r>
      <w:r>
        <w:rPr>
          <w:rFonts w:ascii="宋体" w:hAnsi="宋体"/>
          <w:color w:val="auto"/>
          <w:sz w:val="24"/>
          <w:u w:val="single"/>
        </w:rPr>
        <w:t xml:space="preserve">       </w:t>
      </w:r>
      <w:r>
        <w:rPr>
          <w:rFonts w:ascii="宋体" w:hAnsi="宋体"/>
          <w:color w:val="auto"/>
          <w:sz w:val="24"/>
        </w:rPr>
        <w:t xml:space="preserve"> 职务：</w:t>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 xml:space="preserve">   </w:t>
      </w:r>
    </w:p>
    <w:p>
      <w:pPr>
        <w:ind w:firstLine="610"/>
        <w:rPr>
          <w:rFonts w:ascii="宋体" w:hAnsi="宋体"/>
          <w:color w:val="auto"/>
          <w:sz w:val="24"/>
        </w:rPr>
      </w:pPr>
    </w:p>
    <w:p>
      <w:pPr>
        <w:ind w:firstLine="610"/>
        <w:rPr>
          <w:rFonts w:ascii="宋体" w:hAnsi="宋体"/>
          <w:color w:val="auto"/>
          <w:sz w:val="24"/>
        </w:rPr>
      </w:pPr>
      <w:r>
        <w:rPr>
          <w:rFonts w:hint="eastAsia" w:ascii="宋体" w:hAnsi="宋体"/>
          <w:color w:val="auto"/>
          <w:sz w:val="24"/>
        </w:rPr>
        <w:t>系</w:t>
      </w:r>
      <w:r>
        <w:rPr>
          <w:rFonts w:ascii="宋体" w:hAnsi="宋体"/>
          <w:color w:val="auto"/>
          <w:sz w:val="24"/>
          <w:u w:val="single"/>
        </w:rPr>
        <w:t xml:space="preserve">          （投标人单位名称）         </w:t>
      </w:r>
      <w:r>
        <w:rPr>
          <w:rFonts w:hint="eastAsia" w:ascii="宋体" w:hAnsi="宋体"/>
          <w:color w:val="auto"/>
          <w:sz w:val="24"/>
        </w:rPr>
        <w:t>的法定代表人。</w:t>
      </w:r>
    </w:p>
    <w:p>
      <w:pPr>
        <w:ind w:firstLine="610"/>
        <w:rPr>
          <w:rFonts w:ascii="宋体" w:hAnsi="宋体"/>
          <w:color w:val="auto"/>
          <w:sz w:val="24"/>
        </w:rPr>
      </w:pPr>
    </w:p>
    <w:p>
      <w:pPr>
        <w:ind w:firstLine="610"/>
        <w:rPr>
          <w:rFonts w:ascii="宋体" w:hAnsi="宋体"/>
          <w:color w:val="auto"/>
          <w:sz w:val="24"/>
        </w:rPr>
      </w:pPr>
      <w:r>
        <w:rPr>
          <w:rFonts w:hint="eastAsia" w:ascii="宋体" w:hAnsi="宋体"/>
          <w:color w:val="auto"/>
          <w:sz w:val="24"/>
        </w:rPr>
        <w:t>特此证明。</w:t>
      </w:r>
    </w:p>
    <w:p>
      <w:pPr>
        <w:tabs>
          <w:tab w:val="left" w:pos="720"/>
          <w:tab w:val="left" w:pos="900"/>
        </w:tabs>
        <w:spacing w:line="360" w:lineRule="auto"/>
        <w:ind w:firstLine="480" w:firstLineChars="200"/>
        <w:rPr>
          <w:rFonts w:ascii="宋体" w:hAnsi="宋体"/>
          <w:color w:val="auto"/>
          <w:sz w:val="24"/>
        </w:rPr>
      </w:pPr>
    </w:p>
    <w:p>
      <w:pPr>
        <w:tabs>
          <w:tab w:val="left" w:pos="720"/>
          <w:tab w:val="left" w:pos="900"/>
        </w:tabs>
        <w:spacing w:line="360" w:lineRule="auto"/>
        <w:ind w:firstLine="480" w:firstLineChars="200"/>
        <w:rPr>
          <w:rFonts w:ascii="宋体" w:hAnsi="宋体"/>
          <w:color w:val="auto"/>
          <w:sz w:val="24"/>
        </w:rPr>
      </w:pPr>
    </w:p>
    <w:p>
      <w:pPr>
        <w:tabs>
          <w:tab w:val="left" w:pos="720"/>
          <w:tab w:val="left" w:pos="900"/>
        </w:tabs>
        <w:spacing w:line="360" w:lineRule="auto"/>
        <w:ind w:firstLine="480" w:firstLineChars="200"/>
        <w:rPr>
          <w:rFonts w:ascii="宋体" w:hAnsi="宋体"/>
          <w:color w:val="auto"/>
          <w:sz w:val="24"/>
        </w:rPr>
      </w:pPr>
    </w:p>
    <w:p>
      <w:pPr>
        <w:tabs>
          <w:tab w:val="left" w:pos="720"/>
          <w:tab w:val="left" w:pos="900"/>
        </w:tabs>
        <w:spacing w:line="600" w:lineRule="exact"/>
        <w:ind w:firstLine="3840" w:firstLineChars="1600"/>
        <w:rPr>
          <w:rFonts w:ascii="宋体" w:hAnsi="宋体"/>
          <w:color w:val="auto"/>
          <w:sz w:val="24"/>
        </w:rPr>
      </w:pPr>
      <w:r>
        <w:rPr>
          <w:rFonts w:hint="eastAsia" w:ascii="宋体" w:hAnsi="宋体"/>
          <w:color w:val="auto"/>
          <w:sz w:val="24"/>
        </w:rPr>
        <w:t>投标人：</w:t>
      </w:r>
      <w:r>
        <w:rPr>
          <w:rFonts w:ascii="宋体" w:hAnsi="宋体"/>
          <w:color w:val="auto"/>
          <w:sz w:val="24"/>
          <w:u w:val="single"/>
        </w:rPr>
        <w:t xml:space="preserve">             （盖</w:t>
      </w:r>
      <w:r>
        <w:rPr>
          <w:rFonts w:hint="eastAsia" w:ascii="宋体" w:hAnsi="宋体"/>
          <w:color w:val="auto"/>
          <w:sz w:val="24"/>
          <w:u w:val="single"/>
        </w:rPr>
        <w:t>公司法人</w:t>
      </w:r>
      <w:r>
        <w:rPr>
          <w:rFonts w:ascii="宋体" w:hAnsi="宋体"/>
          <w:color w:val="auto"/>
          <w:sz w:val="24"/>
          <w:u w:val="single"/>
        </w:rPr>
        <w:t>公章）</w:t>
      </w:r>
    </w:p>
    <w:p>
      <w:pPr>
        <w:spacing w:line="600" w:lineRule="exact"/>
        <w:ind w:firstLine="4320" w:firstLineChars="1800"/>
        <w:rPr>
          <w:rFonts w:hint="eastAsia" w:ascii="宋体" w:hAnsi="宋体"/>
          <w:color w:val="auto"/>
          <w:sz w:val="24"/>
        </w:rPr>
      </w:pPr>
      <w:r>
        <w:rPr>
          <w:rFonts w:hint="eastAsia" w:ascii="宋体" w:hAnsi="宋体"/>
          <w:color w:val="auto"/>
          <w:sz w:val="24"/>
        </w:rPr>
        <w:t>日</w:t>
      </w:r>
      <w:r>
        <w:rPr>
          <w:rFonts w:ascii="宋体" w:hAnsi="宋体"/>
          <w:color w:val="auto"/>
          <w:sz w:val="24"/>
        </w:rPr>
        <w:t xml:space="preserve">  期：</w:t>
      </w:r>
      <w:r>
        <w:rPr>
          <w:rFonts w:ascii="宋体" w:hAnsi="宋体"/>
          <w:color w:val="auto"/>
          <w:sz w:val="24"/>
          <w:u w:val="single"/>
        </w:rPr>
        <w:t xml:space="preserve">      </w:t>
      </w:r>
      <w:r>
        <w:rPr>
          <w:rFonts w:ascii="宋体" w:hAnsi="宋体"/>
          <w:color w:val="auto"/>
          <w:sz w:val="24"/>
        </w:rPr>
        <w:t>年</w:t>
      </w:r>
      <w:r>
        <w:rPr>
          <w:rFonts w:ascii="宋体" w:hAnsi="宋体"/>
          <w:color w:val="auto"/>
          <w:sz w:val="24"/>
          <w:u w:val="single"/>
        </w:rPr>
        <w:t xml:space="preserve">     </w:t>
      </w:r>
      <w:r>
        <w:rPr>
          <w:rFonts w:ascii="宋体" w:hAnsi="宋体"/>
          <w:color w:val="auto"/>
          <w:sz w:val="24"/>
        </w:rPr>
        <w:t>月</w:t>
      </w:r>
      <w:r>
        <w:rPr>
          <w:rFonts w:ascii="宋体" w:hAnsi="宋体"/>
          <w:color w:val="auto"/>
          <w:sz w:val="24"/>
          <w:u w:val="single"/>
        </w:rPr>
        <w:t xml:space="preserve">     </w:t>
      </w:r>
      <w:r>
        <w:rPr>
          <w:rFonts w:ascii="宋体" w:hAnsi="宋体"/>
          <w:color w:val="auto"/>
          <w:sz w:val="24"/>
        </w:rPr>
        <w:t>日</w:t>
      </w:r>
    </w:p>
    <w:p>
      <w:pPr>
        <w:spacing w:line="600" w:lineRule="exact"/>
        <w:rPr>
          <w:rFonts w:hint="eastAsia" w:ascii="宋体" w:hAnsi="宋体"/>
          <w:color w:val="auto"/>
          <w:sz w:val="24"/>
        </w:rPr>
      </w:pPr>
    </w:p>
    <w:p>
      <w:pPr>
        <w:spacing w:line="600" w:lineRule="exact"/>
        <w:rPr>
          <w:rFonts w:hint="eastAsia" w:ascii="宋体" w:hAnsi="宋体"/>
          <w:color w:val="auto"/>
          <w:sz w:val="24"/>
        </w:rPr>
      </w:pPr>
    </w:p>
    <w:p>
      <w:pPr>
        <w:spacing w:line="600" w:lineRule="exact"/>
        <w:rPr>
          <w:rFonts w:hint="eastAsia" w:ascii="宋体" w:hAnsi="宋体"/>
          <w:b/>
          <w:color w:val="auto"/>
          <w:sz w:val="32"/>
          <w:szCs w:val="20"/>
        </w:rPr>
      </w:pPr>
      <w:r>
        <w:rPr>
          <w:rFonts w:ascii="宋体" w:hAnsi="宋体"/>
          <w:b/>
          <w:color w:val="auto"/>
          <w:sz w:val="32"/>
          <w:szCs w:val="20"/>
        </w:rPr>
        <w:br w:type="page"/>
      </w:r>
      <w:bookmarkStart w:id="16" w:name="_Toc371174878"/>
      <w:bookmarkStart w:id="17" w:name="_Toc369339231"/>
      <w:bookmarkStart w:id="18" w:name="_Toc367273903"/>
      <w:bookmarkStart w:id="19" w:name="_Toc417479596"/>
      <w:bookmarkStart w:id="20" w:name="_Toc289852511"/>
      <w:bookmarkStart w:id="21" w:name="_Toc309224394"/>
      <w:bookmarkStart w:id="22" w:name="_Toc367273961"/>
      <w:r>
        <w:rPr>
          <w:rFonts w:hint="eastAsia" w:ascii="宋体" w:hAnsi="宋体"/>
          <w:b/>
          <w:color w:val="auto"/>
          <w:sz w:val="32"/>
          <w:szCs w:val="20"/>
        </w:rPr>
        <w:t>附件2：附营业执照及法人身份证复印件。</w:t>
      </w: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hint="eastAsia" w:ascii="宋体" w:hAnsi="宋体"/>
          <w:b/>
          <w:color w:val="auto"/>
          <w:sz w:val="32"/>
          <w:szCs w:val="20"/>
        </w:rPr>
      </w:pPr>
    </w:p>
    <w:p>
      <w:pPr>
        <w:spacing w:line="600" w:lineRule="exact"/>
        <w:rPr>
          <w:rFonts w:ascii="宋体" w:hAnsi="宋体"/>
          <w:color w:val="auto"/>
          <w:sz w:val="24"/>
        </w:rPr>
      </w:pPr>
      <w:r>
        <w:rPr>
          <w:rFonts w:hint="eastAsia" w:ascii="宋体" w:hAnsi="宋体"/>
          <w:b/>
          <w:color w:val="auto"/>
          <w:sz w:val="32"/>
          <w:szCs w:val="20"/>
        </w:rPr>
        <w:t>附件3：                授权委托书</w:t>
      </w:r>
      <w:bookmarkEnd w:id="16"/>
      <w:bookmarkEnd w:id="17"/>
      <w:bookmarkEnd w:id="18"/>
      <w:bookmarkEnd w:id="19"/>
      <w:bookmarkEnd w:id="20"/>
      <w:bookmarkEnd w:id="21"/>
      <w:bookmarkEnd w:id="22"/>
    </w:p>
    <w:p>
      <w:pPr>
        <w:spacing w:line="360" w:lineRule="auto"/>
        <w:ind w:firstLine="420" w:firstLineChars="200"/>
        <w:rPr>
          <w:rFonts w:hint="eastAsia" w:ascii="宋体" w:hAnsi="宋体"/>
          <w:color w:val="auto"/>
          <w:szCs w:val="21"/>
        </w:rPr>
      </w:pPr>
    </w:p>
    <w:p>
      <w:pPr>
        <w:spacing w:line="360" w:lineRule="auto"/>
        <w:ind w:firstLine="480" w:firstLineChars="200"/>
        <w:rPr>
          <w:rFonts w:hint="eastAsia" w:ascii="宋体" w:hAnsi="宋体"/>
          <w:color w:val="auto"/>
          <w:sz w:val="24"/>
        </w:rPr>
      </w:pPr>
      <w:r>
        <w:rPr>
          <w:rFonts w:hint="eastAsia" w:ascii="宋体" w:hAnsi="宋体"/>
          <w:color w:val="auto"/>
          <w:sz w:val="24"/>
        </w:rPr>
        <w:t>本人</w:t>
      </w:r>
      <w:r>
        <w:rPr>
          <w:rFonts w:hint="eastAsia" w:ascii="宋体" w:hAnsi="宋体"/>
          <w:color w:val="auto"/>
          <w:sz w:val="24"/>
          <w:u w:val="single"/>
        </w:rPr>
        <w:t xml:space="preserve">         </w:t>
      </w:r>
      <w:r>
        <w:rPr>
          <w:rFonts w:hint="eastAsia" w:ascii="宋体" w:hAnsi="宋体"/>
          <w:color w:val="auto"/>
          <w:sz w:val="24"/>
        </w:rPr>
        <w:t>（姓名）系</w:t>
      </w:r>
      <w:r>
        <w:rPr>
          <w:rFonts w:hint="eastAsia" w:ascii="宋体" w:hAnsi="宋体"/>
          <w:color w:val="auto"/>
          <w:sz w:val="24"/>
          <w:u w:val="single"/>
        </w:rPr>
        <w:t xml:space="preserve">         </w:t>
      </w:r>
      <w:r>
        <w:rPr>
          <w:rFonts w:hint="eastAsia" w:ascii="宋体" w:hAnsi="宋体"/>
          <w:color w:val="auto"/>
          <w:sz w:val="24"/>
        </w:rPr>
        <w:t>（投标人名称）的法定代表人，现委托</w:t>
      </w:r>
      <w:r>
        <w:rPr>
          <w:rFonts w:hint="eastAsia" w:ascii="宋体" w:hAnsi="宋体"/>
          <w:color w:val="auto"/>
          <w:sz w:val="24"/>
          <w:u w:val="single"/>
        </w:rPr>
        <w:t xml:space="preserve">            </w:t>
      </w:r>
      <w:r>
        <w:rPr>
          <w:rFonts w:hint="eastAsia" w:ascii="宋体" w:hAnsi="宋体"/>
          <w:color w:val="auto"/>
          <w:sz w:val="24"/>
        </w:rPr>
        <w:t>（姓名）为我方代理人。代理人根据授权，以我方名义签署、澄清、说明、补正、递交、撤回、修改</w:t>
      </w:r>
      <w:r>
        <w:rPr>
          <w:rFonts w:hint="eastAsia" w:ascii="宋体" w:hAnsi="宋体"/>
          <w:color w:val="auto"/>
          <w:sz w:val="24"/>
          <w:u w:val="single"/>
        </w:rPr>
        <w:t xml:space="preserve">             （项目名称）           </w:t>
      </w:r>
      <w:r>
        <w:rPr>
          <w:rFonts w:hint="eastAsia" w:ascii="宋体" w:hAnsi="宋体"/>
          <w:color w:val="auto"/>
          <w:sz w:val="24"/>
        </w:rPr>
        <w:t>投标文件、签订合同和处理有关事宜，其法律后果由我方承担。</w:t>
      </w:r>
    </w:p>
    <w:p>
      <w:pPr>
        <w:spacing w:line="360" w:lineRule="auto"/>
        <w:ind w:firstLine="480" w:firstLineChars="200"/>
        <w:rPr>
          <w:rFonts w:hint="eastAsia" w:ascii="宋体" w:hAnsi="宋体"/>
          <w:color w:val="auto"/>
          <w:sz w:val="24"/>
        </w:rPr>
      </w:pPr>
      <w:r>
        <w:rPr>
          <w:rFonts w:hint="eastAsia" w:ascii="宋体" w:hAnsi="宋体"/>
          <w:color w:val="auto"/>
          <w:sz w:val="24"/>
        </w:rPr>
        <w:t>委托期限：自</w:t>
      </w:r>
      <w:r>
        <w:rPr>
          <w:rFonts w:hint="eastAsia" w:ascii="宋体" w:hAnsi="宋体"/>
          <w:color w:val="auto"/>
          <w:sz w:val="24"/>
          <w:u w:val="single"/>
        </w:rPr>
        <w:t xml:space="preserve">      </w:t>
      </w:r>
      <w:r>
        <w:rPr>
          <w:rFonts w:hint="eastAsia" w:ascii="宋体" w:hAnsi="宋体"/>
          <w:color w:val="auto"/>
          <w:sz w:val="24"/>
        </w:rPr>
        <w:t>年</w:t>
      </w:r>
      <w:r>
        <w:rPr>
          <w:rFonts w:hint="eastAsia" w:ascii="宋体" w:hAnsi="宋体"/>
          <w:color w:val="auto"/>
          <w:sz w:val="24"/>
          <w:u w:val="single"/>
        </w:rPr>
        <w:t xml:space="preserve">     </w:t>
      </w:r>
      <w:r>
        <w:rPr>
          <w:rFonts w:hint="eastAsia" w:ascii="宋体" w:hAnsi="宋体"/>
          <w:color w:val="auto"/>
          <w:sz w:val="24"/>
        </w:rPr>
        <w:t>月</w:t>
      </w:r>
      <w:r>
        <w:rPr>
          <w:rFonts w:hint="eastAsia" w:ascii="宋体" w:hAnsi="宋体"/>
          <w:color w:val="auto"/>
          <w:sz w:val="24"/>
          <w:u w:val="single"/>
        </w:rPr>
        <w:t xml:space="preserve">      </w:t>
      </w:r>
      <w:r>
        <w:rPr>
          <w:rFonts w:hint="eastAsia" w:ascii="宋体" w:hAnsi="宋体"/>
          <w:color w:val="auto"/>
          <w:sz w:val="24"/>
        </w:rPr>
        <w:t>日至</w:t>
      </w:r>
      <w:r>
        <w:rPr>
          <w:rFonts w:hint="eastAsia" w:ascii="宋体" w:hAnsi="宋体"/>
          <w:color w:val="auto"/>
          <w:sz w:val="24"/>
          <w:u w:val="single"/>
        </w:rPr>
        <w:t xml:space="preserve">      </w:t>
      </w:r>
      <w:r>
        <w:rPr>
          <w:rFonts w:hint="eastAsia" w:ascii="宋体" w:hAnsi="宋体"/>
          <w:color w:val="auto"/>
          <w:sz w:val="24"/>
        </w:rPr>
        <w:t>年</w:t>
      </w:r>
      <w:r>
        <w:rPr>
          <w:rFonts w:hint="eastAsia" w:ascii="宋体" w:hAnsi="宋体"/>
          <w:color w:val="auto"/>
          <w:sz w:val="24"/>
          <w:u w:val="single"/>
        </w:rPr>
        <w:t xml:space="preserve">     </w:t>
      </w:r>
      <w:r>
        <w:rPr>
          <w:rFonts w:hint="eastAsia" w:ascii="宋体" w:hAnsi="宋体"/>
          <w:color w:val="auto"/>
          <w:sz w:val="24"/>
        </w:rPr>
        <w:t>月</w:t>
      </w:r>
      <w:r>
        <w:rPr>
          <w:rFonts w:hint="eastAsia" w:ascii="宋体" w:hAnsi="宋体"/>
          <w:color w:val="auto"/>
          <w:sz w:val="24"/>
          <w:u w:val="single"/>
        </w:rPr>
        <w:t xml:space="preserve">      </w:t>
      </w:r>
      <w:r>
        <w:rPr>
          <w:rFonts w:hint="eastAsia" w:ascii="宋体" w:hAnsi="宋体"/>
          <w:color w:val="auto"/>
          <w:sz w:val="24"/>
        </w:rPr>
        <w:t xml:space="preserve">日 </w:t>
      </w:r>
    </w:p>
    <w:p>
      <w:pPr>
        <w:spacing w:line="360" w:lineRule="auto"/>
        <w:ind w:firstLine="480" w:firstLineChars="200"/>
        <w:rPr>
          <w:rFonts w:hint="eastAsia" w:ascii="宋体" w:hAnsi="宋体"/>
          <w:color w:val="auto"/>
          <w:sz w:val="24"/>
        </w:rPr>
      </w:pPr>
      <w:r>
        <w:rPr>
          <w:rFonts w:hint="eastAsia" w:ascii="宋体" w:hAnsi="宋体"/>
          <w:color w:val="auto"/>
          <w:sz w:val="24"/>
        </w:rPr>
        <w:t>代理人无转委托权。</w:t>
      </w:r>
    </w:p>
    <w:p>
      <w:pPr>
        <w:spacing w:line="360" w:lineRule="auto"/>
        <w:ind w:firstLine="480" w:firstLineChars="200"/>
        <w:rPr>
          <w:rFonts w:ascii="宋体" w:hAnsi="宋体"/>
          <w:color w:val="auto"/>
          <w:sz w:val="24"/>
        </w:rPr>
      </w:pPr>
    </w:p>
    <w:p>
      <w:pPr>
        <w:spacing w:line="360" w:lineRule="auto"/>
        <w:ind w:firstLine="480" w:firstLineChars="200"/>
        <w:rPr>
          <w:rFonts w:hint="eastAsia" w:ascii="宋体" w:hAnsi="宋体"/>
          <w:color w:val="auto"/>
          <w:sz w:val="24"/>
        </w:rPr>
      </w:pPr>
    </w:p>
    <w:p>
      <w:pPr>
        <w:spacing w:line="360" w:lineRule="auto"/>
        <w:ind w:firstLine="480" w:firstLineChars="200"/>
        <w:rPr>
          <w:rFonts w:hint="eastAsia" w:ascii="宋体" w:hAnsi="宋体"/>
          <w:color w:val="auto"/>
          <w:sz w:val="24"/>
        </w:rPr>
      </w:pPr>
    </w:p>
    <w:p>
      <w:pPr>
        <w:spacing w:before="156" w:beforeLines="50" w:after="156" w:afterLines="50" w:line="360" w:lineRule="exact"/>
        <w:ind w:firstLine="3600" w:firstLineChars="1500"/>
        <w:rPr>
          <w:rFonts w:ascii="宋体" w:hAnsi="宋体" w:cs="Arial"/>
          <w:color w:val="auto"/>
          <w:sz w:val="24"/>
        </w:rPr>
      </w:pPr>
      <w:r>
        <w:rPr>
          <w:rFonts w:hint="eastAsia" w:ascii="宋体" w:hAnsi="宋体" w:cs="Arial"/>
          <w:color w:val="auto"/>
          <w:sz w:val="24"/>
        </w:rPr>
        <w:t>投标人：</w:t>
      </w:r>
      <w:r>
        <w:rPr>
          <w:rFonts w:hint="eastAsia" w:ascii="宋体" w:hAnsi="宋体" w:cs="Arial"/>
          <w:color w:val="auto"/>
          <w:sz w:val="24"/>
          <w:u w:val="single"/>
        </w:rPr>
        <w:t xml:space="preserve">                     </w:t>
      </w:r>
      <w:r>
        <w:rPr>
          <w:rFonts w:hint="eastAsia" w:ascii="宋体" w:hAnsi="宋体" w:cs="Arial"/>
          <w:color w:val="auto"/>
          <w:sz w:val="24"/>
        </w:rPr>
        <w:t>（盖单位章）</w:t>
      </w:r>
    </w:p>
    <w:p>
      <w:pPr>
        <w:spacing w:before="156" w:beforeLines="50" w:after="156" w:afterLines="50" w:line="360" w:lineRule="exact"/>
        <w:ind w:firstLine="420"/>
        <w:rPr>
          <w:rFonts w:ascii="宋体" w:hAnsi="宋体" w:cs="Arial"/>
          <w:color w:val="auto"/>
          <w:sz w:val="24"/>
        </w:rPr>
      </w:pPr>
    </w:p>
    <w:p>
      <w:pPr>
        <w:spacing w:before="156" w:beforeLines="50" w:after="156" w:afterLines="50" w:line="360" w:lineRule="exact"/>
        <w:ind w:firstLine="3600" w:firstLineChars="1500"/>
        <w:rPr>
          <w:rFonts w:ascii="宋体" w:hAnsi="宋体" w:cs="Arial"/>
          <w:color w:val="auto"/>
          <w:sz w:val="24"/>
        </w:rPr>
      </w:pPr>
      <w:r>
        <w:rPr>
          <w:rFonts w:hint="eastAsia" w:ascii="宋体" w:hAnsi="宋体" w:cs="Arial"/>
          <w:color w:val="auto"/>
          <w:sz w:val="24"/>
        </w:rPr>
        <w:t>法定代表人：</w:t>
      </w:r>
      <w:r>
        <w:rPr>
          <w:rFonts w:hint="eastAsia" w:ascii="宋体" w:hAnsi="宋体" w:cs="Arial"/>
          <w:color w:val="auto"/>
          <w:sz w:val="24"/>
          <w:u w:val="single"/>
        </w:rPr>
        <w:t xml:space="preserve">              </w:t>
      </w:r>
      <w:r>
        <w:rPr>
          <w:rFonts w:hint="eastAsia" w:ascii="宋体" w:hAnsi="宋体" w:cs="Arial"/>
          <w:color w:val="auto"/>
          <w:sz w:val="24"/>
        </w:rPr>
        <w:t xml:space="preserve"> （签字或盖私章）</w:t>
      </w:r>
    </w:p>
    <w:p>
      <w:pPr>
        <w:spacing w:line="360" w:lineRule="auto"/>
        <w:ind w:firstLine="480" w:firstLineChars="200"/>
        <w:rPr>
          <w:rFonts w:ascii="宋体" w:hAnsi="宋体"/>
          <w:color w:val="auto"/>
          <w:sz w:val="24"/>
        </w:rPr>
      </w:pPr>
      <w:r>
        <w:rPr>
          <w:rFonts w:hint="eastAsia" w:ascii="宋体" w:hAnsi="宋体"/>
          <w:color w:val="auto"/>
          <w:sz w:val="24"/>
        </w:rPr>
        <w:t xml:space="preserve"> </w:t>
      </w:r>
    </w:p>
    <w:p>
      <w:pPr>
        <w:spacing w:line="360" w:lineRule="auto"/>
        <w:ind w:firstLine="3600" w:firstLineChars="1500"/>
        <w:rPr>
          <w:rFonts w:ascii="宋体" w:hAnsi="宋体"/>
          <w:color w:val="auto"/>
          <w:sz w:val="24"/>
        </w:rPr>
      </w:pPr>
      <w:r>
        <w:rPr>
          <w:rFonts w:hint="eastAsia" w:ascii="宋体" w:hAnsi="宋体"/>
          <w:color w:val="auto"/>
          <w:sz w:val="24"/>
        </w:rPr>
        <w:t>身份证号码：</w:t>
      </w:r>
      <w:r>
        <w:rPr>
          <w:rFonts w:hint="eastAsia" w:ascii="宋体" w:hAnsi="宋体"/>
          <w:color w:val="auto"/>
          <w:sz w:val="24"/>
          <w:u w:val="single"/>
        </w:rPr>
        <w:t xml:space="preserve">                               </w:t>
      </w:r>
    </w:p>
    <w:p>
      <w:pPr>
        <w:spacing w:line="360" w:lineRule="auto"/>
        <w:ind w:firstLine="480" w:firstLineChars="200"/>
        <w:rPr>
          <w:rFonts w:hint="eastAsia" w:ascii="宋体" w:hAnsi="宋体"/>
          <w:color w:val="auto"/>
          <w:sz w:val="24"/>
        </w:rPr>
      </w:pPr>
    </w:p>
    <w:p>
      <w:pPr>
        <w:spacing w:before="156" w:beforeLines="50" w:after="156" w:afterLines="50" w:line="360" w:lineRule="exact"/>
        <w:ind w:firstLine="3600" w:firstLineChars="1500"/>
        <w:rPr>
          <w:rFonts w:ascii="宋体" w:hAnsi="宋体" w:cs="Arial"/>
          <w:color w:val="auto"/>
          <w:sz w:val="24"/>
        </w:rPr>
      </w:pPr>
      <w:r>
        <w:rPr>
          <w:rFonts w:hint="eastAsia" w:ascii="宋体" w:hAnsi="宋体" w:cs="Arial"/>
          <w:color w:val="auto"/>
          <w:sz w:val="24"/>
        </w:rPr>
        <w:t>委托代理人：</w:t>
      </w:r>
      <w:r>
        <w:rPr>
          <w:rFonts w:hint="eastAsia" w:ascii="宋体" w:hAnsi="宋体" w:cs="Arial"/>
          <w:color w:val="auto"/>
          <w:sz w:val="24"/>
          <w:u w:val="single"/>
        </w:rPr>
        <w:t xml:space="preserve">              </w:t>
      </w:r>
      <w:r>
        <w:rPr>
          <w:rFonts w:hint="eastAsia" w:ascii="宋体" w:hAnsi="宋体" w:cs="Arial"/>
          <w:color w:val="auto"/>
          <w:sz w:val="24"/>
        </w:rPr>
        <w:t>（签字或盖私章）</w:t>
      </w:r>
    </w:p>
    <w:p>
      <w:pPr>
        <w:spacing w:line="360" w:lineRule="auto"/>
        <w:ind w:firstLine="480" w:firstLineChars="200"/>
        <w:rPr>
          <w:rFonts w:ascii="宋体" w:hAnsi="宋体"/>
          <w:color w:val="auto"/>
          <w:sz w:val="24"/>
        </w:rPr>
      </w:pPr>
    </w:p>
    <w:p>
      <w:pPr>
        <w:spacing w:line="360" w:lineRule="auto"/>
        <w:ind w:firstLine="3600" w:firstLineChars="1500"/>
        <w:rPr>
          <w:rFonts w:hint="eastAsia" w:ascii="宋体" w:hAnsi="宋体"/>
          <w:color w:val="auto"/>
          <w:sz w:val="24"/>
        </w:rPr>
      </w:pPr>
      <w:r>
        <w:rPr>
          <w:rFonts w:hint="eastAsia" w:ascii="宋体" w:hAnsi="宋体"/>
          <w:color w:val="auto"/>
          <w:sz w:val="24"/>
        </w:rPr>
        <w:t>身份证号码：</w:t>
      </w:r>
      <w:r>
        <w:rPr>
          <w:rFonts w:hint="eastAsia" w:ascii="宋体" w:hAnsi="宋体"/>
          <w:color w:val="auto"/>
          <w:sz w:val="24"/>
          <w:u w:val="single"/>
        </w:rPr>
        <w:t xml:space="preserve">                                </w:t>
      </w:r>
    </w:p>
    <w:p>
      <w:pPr>
        <w:spacing w:line="360" w:lineRule="auto"/>
        <w:ind w:firstLine="6120" w:firstLineChars="2550"/>
        <w:rPr>
          <w:rFonts w:hint="eastAsia" w:ascii="宋体" w:hAnsi="宋体"/>
          <w:color w:val="auto"/>
          <w:sz w:val="24"/>
        </w:rPr>
      </w:pPr>
    </w:p>
    <w:p>
      <w:pPr>
        <w:spacing w:line="360" w:lineRule="auto"/>
        <w:ind w:right="480" w:firstLine="4800" w:firstLineChars="2000"/>
        <w:rPr>
          <w:rFonts w:hint="eastAsia" w:ascii="宋体" w:hAnsi="宋体"/>
          <w:color w:val="auto"/>
          <w:sz w:val="24"/>
        </w:rPr>
      </w:pPr>
      <w:r>
        <w:rPr>
          <w:rFonts w:hint="eastAsia" w:ascii="宋体" w:hAnsi="宋体"/>
          <w:color w:val="auto"/>
          <w:sz w:val="24"/>
          <w:u w:val="single"/>
        </w:rPr>
        <w:t xml:space="preserve">       </w:t>
      </w:r>
      <w:r>
        <w:rPr>
          <w:rFonts w:hint="eastAsia" w:ascii="宋体" w:hAnsi="宋体"/>
          <w:color w:val="auto"/>
          <w:sz w:val="24"/>
        </w:rPr>
        <w:t>年</w:t>
      </w:r>
      <w:r>
        <w:rPr>
          <w:rFonts w:hint="eastAsia" w:ascii="宋体" w:hAnsi="宋体"/>
          <w:color w:val="auto"/>
          <w:sz w:val="24"/>
          <w:u w:val="single"/>
        </w:rPr>
        <w:t xml:space="preserve">      </w:t>
      </w:r>
      <w:r>
        <w:rPr>
          <w:rFonts w:hint="eastAsia" w:ascii="宋体" w:hAnsi="宋体"/>
          <w:color w:val="auto"/>
          <w:sz w:val="24"/>
        </w:rPr>
        <w:t>月</w:t>
      </w:r>
      <w:r>
        <w:rPr>
          <w:rFonts w:hint="eastAsia" w:ascii="宋体" w:hAnsi="宋体"/>
          <w:color w:val="auto"/>
          <w:sz w:val="24"/>
          <w:u w:val="single"/>
        </w:rPr>
        <w:t xml:space="preserve">      </w:t>
      </w:r>
      <w:r>
        <w:rPr>
          <w:rFonts w:hint="eastAsia" w:ascii="宋体" w:hAnsi="宋体"/>
          <w:color w:val="auto"/>
          <w:sz w:val="24"/>
        </w:rPr>
        <w:t>日</w:t>
      </w: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600" w:lineRule="exact"/>
        <w:rPr>
          <w:rFonts w:hint="eastAsia" w:ascii="宋体" w:hAnsi="宋体"/>
          <w:b/>
          <w:color w:val="auto"/>
          <w:sz w:val="32"/>
          <w:szCs w:val="20"/>
        </w:rPr>
      </w:pPr>
      <w:r>
        <w:rPr>
          <w:rFonts w:hint="eastAsia" w:ascii="宋体" w:hAnsi="宋体"/>
          <w:b/>
          <w:color w:val="auto"/>
          <w:sz w:val="32"/>
          <w:szCs w:val="20"/>
        </w:rPr>
        <w:t>附件4：附被委托人身份证复印件。</w:t>
      </w: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p>
      <w:pPr>
        <w:spacing w:line="360" w:lineRule="auto"/>
        <w:ind w:right="480" w:firstLine="4800" w:firstLineChars="2000"/>
        <w:rPr>
          <w:rFonts w:hint="eastAsia" w:ascii="宋体" w:hAnsi="宋体"/>
          <w:color w:val="auto"/>
          <w:sz w:val="24"/>
        </w:rPr>
      </w:pPr>
    </w:p>
    <w:bookmarkEnd w:id="10"/>
    <w:bookmarkEnd w:id="11"/>
    <w:bookmarkEnd w:id="12"/>
    <w:bookmarkEnd w:id="13"/>
    <w:bookmarkEnd w:id="14"/>
    <w:bookmarkEnd w:id="15"/>
    <w:p>
      <w:pPr>
        <w:keepNext/>
        <w:keepLines/>
        <w:tabs>
          <w:tab w:val="left" w:pos="720"/>
        </w:tabs>
        <w:spacing w:before="260" w:after="260" w:line="413" w:lineRule="auto"/>
        <w:outlineLvl w:val="2"/>
        <w:rPr>
          <w:rFonts w:hint="eastAsia" w:ascii="宋体" w:hAnsi="宋体"/>
          <w:b/>
          <w:color w:val="auto"/>
          <w:sz w:val="32"/>
          <w:szCs w:val="20"/>
        </w:rPr>
      </w:pPr>
      <w:bookmarkStart w:id="23" w:name="_Toc222777568"/>
      <w:bookmarkStart w:id="24" w:name="_Toc206142701"/>
      <w:bookmarkStart w:id="25" w:name="_Toc188989191"/>
      <w:r>
        <w:rPr>
          <w:rFonts w:hint="eastAsia" w:ascii="宋体" w:hAnsi="宋体"/>
          <w:b/>
          <w:color w:val="auto"/>
          <w:sz w:val="32"/>
          <w:szCs w:val="20"/>
        </w:rPr>
        <w:t xml:space="preserve">附件5：                 </w:t>
      </w:r>
    </w:p>
    <w:p>
      <w:pPr>
        <w:keepNext/>
        <w:keepLines/>
        <w:tabs>
          <w:tab w:val="left" w:pos="720"/>
        </w:tabs>
        <w:spacing w:before="260" w:after="260" w:line="480" w:lineRule="auto"/>
        <w:jc w:val="center"/>
        <w:outlineLvl w:val="2"/>
        <w:rPr>
          <w:rFonts w:hint="eastAsia" w:ascii="宋体" w:hAnsi="宋体"/>
          <w:b/>
          <w:color w:val="auto"/>
          <w:sz w:val="24"/>
        </w:rPr>
      </w:pPr>
      <w:r>
        <w:rPr>
          <w:rFonts w:hint="eastAsia" w:ascii="宋体" w:hAnsi="宋体"/>
          <w:b/>
          <w:color w:val="auto"/>
          <w:sz w:val="32"/>
          <w:szCs w:val="20"/>
        </w:rPr>
        <w:t>投 标 函</w:t>
      </w:r>
    </w:p>
    <w:p>
      <w:pPr>
        <w:spacing w:line="480" w:lineRule="auto"/>
        <w:rPr>
          <w:rFonts w:hint="eastAsia" w:ascii="宋体" w:hAnsi="宋体"/>
          <w:color w:val="auto"/>
          <w:szCs w:val="21"/>
          <w:u w:val="single"/>
        </w:rPr>
      </w:pPr>
      <w:r>
        <w:rPr>
          <w:rFonts w:hint="eastAsia" w:ascii="宋体" w:hAnsi="宋体"/>
          <w:color w:val="auto"/>
          <w:szCs w:val="21"/>
        </w:rPr>
        <w:t>致：</w:t>
      </w:r>
      <w:r>
        <w:rPr>
          <w:rFonts w:ascii="宋体" w:hAnsi="宋体"/>
          <w:color w:val="auto"/>
          <w:szCs w:val="21"/>
          <w:u w:val="single"/>
        </w:rPr>
        <w:t xml:space="preserve">   </w:t>
      </w:r>
      <w:r>
        <w:rPr>
          <w:rFonts w:hint="eastAsia" w:ascii="宋体" w:hAnsi="宋体"/>
          <w:color w:val="auto"/>
          <w:szCs w:val="21"/>
          <w:u w:val="single"/>
        </w:rPr>
        <w:t>{采购人名称}</w:t>
      </w:r>
      <w:r>
        <w:rPr>
          <w:rFonts w:ascii="宋体" w:hAnsi="宋体"/>
          <w:color w:val="auto"/>
          <w:szCs w:val="21"/>
          <w:u w:val="single"/>
        </w:rPr>
        <w:t xml:space="preserve">   </w:t>
      </w:r>
    </w:p>
    <w:p>
      <w:pPr>
        <w:tabs>
          <w:tab w:val="left" w:pos="7560"/>
        </w:tabs>
        <w:spacing w:line="480" w:lineRule="auto"/>
        <w:ind w:firstLine="490"/>
        <w:rPr>
          <w:rFonts w:hint="eastAsia" w:ascii="宋体" w:hAnsi="宋体"/>
          <w:color w:val="auto"/>
          <w:szCs w:val="21"/>
        </w:rPr>
      </w:pPr>
      <w:r>
        <w:rPr>
          <w:rFonts w:hint="eastAsia" w:ascii="宋体" w:hAnsi="宋体"/>
          <w:color w:val="auto"/>
          <w:szCs w:val="21"/>
        </w:rPr>
        <w:t>1、根据你方采购工程项目采购编号为</w:t>
      </w:r>
      <w:r>
        <w:rPr>
          <w:rFonts w:hint="eastAsia" w:ascii="宋体" w:hAnsi="宋体"/>
          <w:color w:val="auto"/>
          <w:szCs w:val="21"/>
          <w:u w:val="single"/>
        </w:rPr>
        <w:t xml:space="preserve">  {项目编号}  </w:t>
      </w:r>
      <w:r>
        <w:rPr>
          <w:rFonts w:hint="eastAsia" w:ascii="宋体" w:hAnsi="宋体"/>
          <w:color w:val="auto"/>
          <w:szCs w:val="21"/>
        </w:rPr>
        <w:t>的</w:t>
      </w:r>
      <w:r>
        <w:rPr>
          <w:rFonts w:hint="eastAsia" w:ascii="宋体" w:hAnsi="宋体"/>
          <w:color w:val="auto"/>
          <w:szCs w:val="21"/>
          <w:u w:val="single"/>
        </w:rPr>
        <w:t xml:space="preserve">  {采购工程项目名称}  </w:t>
      </w:r>
      <w:r>
        <w:rPr>
          <w:rFonts w:hint="eastAsia" w:ascii="宋体" w:hAnsi="宋体"/>
          <w:color w:val="auto"/>
          <w:szCs w:val="21"/>
        </w:rPr>
        <w:t>工程采购文件，遵照《中华人民共和国招标投标法》等有关规定，经踏勘项目现场和研究上述招标文件的投标人须知、合同条款、招标图纸、工程建设标准和工程量清单、补充通知及其他有关文件后，我方愿以</w:t>
      </w:r>
      <w:r>
        <w:rPr>
          <w:rFonts w:hint="eastAsia" w:ascii="宋体" w:hAnsi="宋体" w:eastAsia="宋体" w:cs="Times New Roman"/>
          <w:b w:val="0"/>
          <w:bCs w:val="0"/>
          <w:color w:val="auto"/>
          <w:szCs w:val="21"/>
          <w:lang w:val="en-US" w:eastAsia="zh-CN"/>
        </w:rPr>
        <w:t>含税总价</w:t>
      </w:r>
      <w:r>
        <w:rPr>
          <w:rFonts w:hint="eastAsia" w:ascii="宋体" w:hAnsi="宋体" w:eastAsia="宋体" w:cs="Times New Roman"/>
          <w:color w:val="auto"/>
          <w:szCs w:val="21"/>
          <w:lang w:val="en-US" w:eastAsia="zh-CN"/>
        </w:rPr>
        <w:t>为</w:t>
      </w:r>
      <w:r>
        <w:rPr>
          <w:rFonts w:hint="eastAsia" w:ascii="宋体" w:hAnsi="宋体" w:eastAsia="宋体" w:cs="Times New Roman"/>
          <w:color w:val="auto"/>
          <w:szCs w:val="21"/>
          <w:u w:val="single"/>
        </w:rPr>
        <w:t xml:space="preserve"> ¥           </w:t>
      </w:r>
      <w:r>
        <w:rPr>
          <w:rFonts w:hint="eastAsia" w:ascii="宋体" w:hAnsi="宋体" w:eastAsia="宋体" w:cs="Times New Roman"/>
          <w:color w:val="auto"/>
          <w:szCs w:val="21"/>
          <w:u w:val="none"/>
          <w:lang w:eastAsia="zh-CN"/>
        </w:rPr>
        <w:t>，</w:t>
      </w:r>
      <w:r>
        <w:rPr>
          <w:rFonts w:hint="eastAsia" w:ascii="宋体" w:hAnsi="宋体" w:eastAsia="宋体" w:cs="Times New Roman"/>
          <w:color w:val="auto"/>
          <w:szCs w:val="21"/>
        </w:rPr>
        <w:t>大写：人民币</w:t>
      </w:r>
      <w:r>
        <w:rPr>
          <w:rFonts w:hint="eastAsia" w:ascii="宋体" w:hAnsi="宋体" w:eastAsia="宋体" w:cs="Times New Roman"/>
          <w:color w:val="auto"/>
          <w:szCs w:val="21"/>
          <w:u w:val="single"/>
        </w:rPr>
        <w:t xml:space="preserve">   亿   仟   佰   拾   万   仟   佰   拾   元   角   分 </w:t>
      </w:r>
      <w:r>
        <w:rPr>
          <w:rFonts w:hint="eastAsia" w:ascii="宋体" w:hAnsi="宋体" w:eastAsia="宋体" w:cs="Times New Roman"/>
          <w:color w:val="auto"/>
          <w:szCs w:val="21"/>
          <w:u w:val="none"/>
          <w:lang w:eastAsia="zh-CN"/>
        </w:rPr>
        <w:t>；</w:t>
      </w:r>
      <w:r>
        <w:rPr>
          <w:rFonts w:hint="eastAsia" w:ascii="宋体" w:hAnsi="宋体" w:eastAsia="宋体" w:cs="Times New Roman"/>
          <w:b w:val="0"/>
          <w:bCs w:val="0"/>
          <w:color w:val="auto"/>
          <w:szCs w:val="21"/>
        </w:rPr>
        <w:t>不含税价</w:t>
      </w:r>
      <w:r>
        <w:rPr>
          <w:rFonts w:hint="eastAsia" w:ascii="宋体" w:hAnsi="宋体" w:eastAsia="宋体" w:cs="Times New Roman"/>
          <w:b w:val="0"/>
          <w:bCs w:val="0"/>
          <w:color w:val="auto"/>
          <w:szCs w:val="21"/>
          <w:lang w:val="en-US" w:eastAsia="zh-CN"/>
        </w:rPr>
        <w:t>为</w:t>
      </w:r>
      <w:r>
        <w:rPr>
          <w:rFonts w:hint="eastAsia" w:ascii="宋体" w:hAnsi="宋体" w:eastAsia="宋体" w:cs="Times New Roman"/>
          <w:color w:val="auto"/>
          <w:szCs w:val="21"/>
          <w:u w:val="single"/>
        </w:rPr>
        <w:t xml:space="preserve"> ¥         </w:t>
      </w:r>
      <w:r>
        <w:rPr>
          <w:rFonts w:hint="eastAsia" w:ascii="宋体" w:hAnsi="宋体" w:eastAsia="宋体" w:cs="Times New Roman"/>
          <w:color w:val="auto"/>
          <w:szCs w:val="21"/>
          <w:u w:val="none"/>
        </w:rPr>
        <w:t xml:space="preserve"> </w:t>
      </w:r>
      <w:r>
        <w:rPr>
          <w:rFonts w:hint="eastAsia" w:ascii="宋体" w:hAnsi="宋体" w:eastAsia="宋体" w:cs="Times New Roman"/>
          <w:color w:val="auto"/>
          <w:szCs w:val="21"/>
          <w:u w:val="none"/>
          <w:lang w:eastAsia="zh-CN"/>
        </w:rPr>
        <w:t>，</w:t>
      </w:r>
      <w:r>
        <w:rPr>
          <w:rFonts w:hint="eastAsia" w:ascii="宋体" w:hAnsi="宋体" w:eastAsia="宋体" w:cs="Times New Roman"/>
          <w:color w:val="auto"/>
          <w:szCs w:val="21"/>
          <w:u w:val="none"/>
        </w:rPr>
        <w:t>大写：人民币</w:t>
      </w:r>
      <w:r>
        <w:rPr>
          <w:rFonts w:hint="eastAsia" w:ascii="宋体" w:hAnsi="宋体" w:eastAsia="宋体" w:cs="Times New Roman"/>
          <w:color w:val="auto"/>
          <w:szCs w:val="21"/>
          <w:u w:val="single"/>
        </w:rPr>
        <w:t xml:space="preserve">   亿   仟   佰   拾   万   仟   佰   拾   元   角   分</w:t>
      </w:r>
      <w:r>
        <w:rPr>
          <w:rFonts w:hint="eastAsia" w:ascii="宋体" w:hAnsi="宋体" w:eastAsia="宋体" w:cs="Times New Roman"/>
          <w:color w:val="auto"/>
          <w:szCs w:val="21"/>
        </w:rPr>
        <w:t>作为该工程的投标报价</w:t>
      </w:r>
      <w:r>
        <w:rPr>
          <w:rFonts w:hint="eastAsia" w:ascii="宋体" w:hAnsi="宋体"/>
          <w:color w:val="auto"/>
          <w:szCs w:val="21"/>
        </w:rPr>
        <w:t>。</w:t>
      </w:r>
    </w:p>
    <w:p>
      <w:pPr>
        <w:tabs>
          <w:tab w:val="left" w:pos="7560"/>
        </w:tabs>
        <w:spacing w:line="480" w:lineRule="auto"/>
        <w:ind w:firstLine="490"/>
        <w:rPr>
          <w:rFonts w:hint="eastAsia" w:ascii="宋体" w:hAnsi="宋体"/>
          <w:color w:val="auto"/>
          <w:szCs w:val="21"/>
        </w:rPr>
      </w:pPr>
      <w:r>
        <w:rPr>
          <w:rFonts w:hint="eastAsia" w:ascii="宋体" w:hAnsi="宋体"/>
          <w:color w:val="auto"/>
          <w:szCs w:val="21"/>
        </w:rPr>
        <w:t>2、我方已详细审核全部采购文件，包括补充通知及有关附件。</w:t>
      </w:r>
    </w:p>
    <w:p>
      <w:pPr>
        <w:tabs>
          <w:tab w:val="left" w:pos="7560"/>
        </w:tabs>
        <w:spacing w:line="480" w:lineRule="auto"/>
        <w:ind w:firstLine="490"/>
        <w:rPr>
          <w:rFonts w:hint="eastAsia" w:ascii="宋体" w:hAnsi="宋体"/>
          <w:color w:val="auto"/>
          <w:szCs w:val="21"/>
        </w:rPr>
      </w:pPr>
      <w:r>
        <w:rPr>
          <w:rFonts w:hint="eastAsia" w:ascii="宋体" w:hAnsi="宋体"/>
          <w:color w:val="auto"/>
          <w:szCs w:val="21"/>
        </w:rPr>
        <w:t xml:space="preserve">3、一旦我方中标，我方保证按工程施工合同中规定的工期 </w:t>
      </w:r>
      <w:r>
        <w:rPr>
          <w:rFonts w:hint="eastAsia" w:ascii="宋体" w:hAnsi="宋体"/>
          <w:color w:val="auto"/>
          <w:szCs w:val="21"/>
          <w:u w:val="single"/>
        </w:rPr>
        <w:t xml:space="preserve">    </w:t>
      </w:r>
      <w:r>
        <w:rPr>
          <w:rFonts w:hint="eastAsia" w:ascii="宋体" w:hAnsi="宋体"/>
          <w:color w:val="auto"/>
          <w:szCs w:val="21"/>
        </w:rPr>
        <w:t>日历天内完成并移交全部工程。</w:t>
      </w:r>
    </w:p>
    <w:p>
      <w:pPr>
        <w:widowControl/>
        <w:snapToGrid w:val="0"/>
        <w:spacing w:line="480" w:lineRule="auto"/>
        <w:ind w:firstLine="527" w:firstLineChars="250"/>
        <w:rPr>
          <w:rFonts w:hint="eastAsia" w:ascii="宋体" w:hAnsi="宋体"/>
          <w:b/>
          <w:color w:val="auto"/>
          <w:szCs w:val="21"/>
        </w:rPr>
      </w:pPr>
      <w:r>
        <w:rPr>
          <w:rFonts w:hint="eastAsia" w:ascii="宋体" w:hAnsi="宋体"/>
          <w:b/>
          <w:color w:val="auto"/>
          <w:szCs w:val="21"/>
        </w:rPr>
        <w:t>4、结算原则：</w:t>
      </w:r>
    </w:p>
    <w:p>
      <w:pPr>
        <w:widowControl/>
        <w:snapToGrid w:val="0"/>
        <w:spacing w:line="480" w:lineRule="auto"/>
        <w:ind w:firstLine="527" w:firstLineChars="250"/>
        <w:rPr>
          <w:rFonts w:hint="eastAsia" w:ascii="宋体" w:hAnsi="宋体"/>
          <w:b/>
          <w:color w:val="auto"/>
          <w:szCs w:val="21"/>
        </w:rPr>
      </w:pPr>
      <w:r>
        <w:rPr>
          <w:rFonts w:hint="eastAsia" w:ascii="宋体" w:hAnsi="宋体"/>
          <w:b/>
          <w:color w:val="auto"/>
          <w:szCs w:val="21"/>
        </w:rPr>
        <w:t xml:space="preserve"> 本工程为固定单价合同，工程量按双方确认的竣工图及签证变更资料按实计算，工程量计算执行2018年广东省建设工程计价依据，结算单价按投标人中标单价计算，税费按本合同约定发票类型及税率计取。</w:t>
      </w:r>
    </w:p>
    <w:p>
      <w:pPr>
        <w:widowControl/>
        <w:snapToGrid w:val="0"/>
        <w:spacing w:line="480" w:lineRule="auto"/>
        <w:ind w:firstLine="527" w:firstLineChars="250"/>
        <w:rPr>
          <w:rFonts w:hint="eastAsia" w:ascii="宋体" w:hAnsi="宋体"/>
          <w:b/>
          <w:color w:val="auto"/>
          <w:szCs w:val="21"/>
        </w:rPr>
      </w:pPr>
      <w:r>
        <w:rPr>
          <w:rFonts w:hint="eastAsia" w:ascii="宋体" w:hAnsi="宋体"/>
          <w:b/>
          <w:color w:val="auto"/>
          <w:szCs w:val="21"/>
        </w:rPr>
        <w:t>1、本工程投标报价为固定综合单价方式，该综合单价应包括人工费、设备费、材料费、机械费、管理费、规费、利润等，同时投标单位应充分考虑施工难度、赶工期、施工期间各类建材的市场风险和国家政策性调整以及施工条件确定风险系数计入综合单价。</w:t>
      </w:r>
    </w:p>
    <w:p>
      <w:pPr>
        <w:widowControl/>
        <w:snapToGrid w:val="0"/>
        <w:spacing w:line="480" w:lineRule="auto"/>
        <w:ind w:firstLine="527" w:firstLineChars="250"/>
        <w:rPr>
          <w:rFonts w:hint="eastAsia" w:ascii="宋体" w:hAnsi="宋体"/>
          <w:b/>
          <w:color w:val="auto"/>
          <w:szCs w:val="21"/>
        </w:rPr>
      </w:pPr>
      <w:r>
        <w:rPr>
          <w:rFonts w:hint="eastAsia" w:ascii="宋体" w:hAnsi="宋体"/>
          <w:b/>
          <w:color w:val="auto"/>
          <w:szCs w:val="21"/>
        </w:rPr>
        <w:t>2、综合单价已包含安全文明施工、施工扬尘污染防治、环境保护、安全措施、夜间施工降效、临时设施、现场内外水平及垂直运输费、检查整改费、窝工损失费、施工扰民费、交通费、冬雨季施工增加费、二次转运费、工完场清、工程竣工验收合格并移交甲方前的成品与半成品保护。</w:t>
      </w:r>
    </w:p>
    <w:p>
      <w:pPr>
        <w:widowControl/>
        <w:snapToGrid w:val="0"/>
        <w:spacing w:line="480" w:lineRule="auto"/>
        <w:ind w:firstLine="527" w:firstLineChars="250"/>
        <w:rPr>
          <w:rFonts w:hint="eastAsia" w:ascii="宋体" w:hAnsi="宋体"/>
          <w:b/>
          <w:color w:val="auto"/>
          <w:szCs w:val="21"/>
        </w:rPr>
      </w:pPr>
      <w:r>
        <w:rPr>
          <w:rFonts w:hint="eastAsia" w:ascii="宋体" w:hAnsi="宋体"/>
          <w:b/>
          <w:color w:val="auto"/>
          <w:szCs w:val="21"/>
        </w:rPr>
        <w:t>3、签证变更计价方式。（1）清单中有相同综合单价的，按清单中的相同综合单价计算；（2）清单中有类似综合单价的，按类似综合单价计算；（3）清单中没有适用或类似于变更工程的价格，双方协商、参考市场价。</w:t>
      </w:r>
    </w:p>
    <w:p>
      <w:pPr>
        <w:widowControl/>
        <w:snapToGrid w:val="0"/>
        <w:spacing w:line="480" w:lineRule="auto"/>
        <w:ind w:firstLine="525" w:firstLineChars="250"/>
        <w:rPr>
          <w:rFonts w:ascii="宋体" w:hAnsi="宋体"/>
          <w:color w:val="auto"/>
          <w:szCs w:val="21"/>
        </w:rPr>
      </w:pPr>
      <w:r>
        <w:rPr>
          <w:rFonts w:hint="eastAsia" w:ascii="宋体" w:hAnsi="宋体"/>
          <w:color w:val="auto"/>
          <w:szCs w:val="21"/>
        </w:rPr>
        <w:t>5、我方承诺在投标文件中所提交的所有资料均真实有效，若有虚假，我方愿意接受按弄虚作假骗取中标的有关规定进行处理，并承担相应的法律责任。</w:t>
      </w:r>
    </w:p>
    <w:p>
      <w:pPr>
        <w:tabs>
          <w:tab w:val="left" w:pos="7560"/>
        </w:tabs>
        <w:spacing w:line="480" w:lineRule="auto"/>
        <w:ind w:firstLine="490"/>
        <w:rPr>
          <w:rFonts w:hint="eastAsia" w:ascii="宋体" w:hAnsi="宋体"/>
          <w:color w:val="auto"/>
          <w:szCs w:val="21"/>
        </w:rPr>
      </w:pPr>
      <w:r>
        <w:rPr>
          <w:rFonts w:hint="eastAsia" w:ascii="宋体" w:hAnsi="宋体"/>
          <w:color w:val="auto"/>
          <w:szCs w:val="21"/>
        </w:rPr>
        <w:t>6、我方同意所提交的采购文件在采购文件的投标人须知中投标有效期内有效，在此期间内如果中标，我方将受此约束。</w:t>
      </w:r>
    </w:p>
    <w:p>
      <w:pPr>
        <w:tabs>
          <w:tab w:val="left" w:pos="7560"/>
        </w:tabs>
        <w:spacing w:line="480" w:lineRule="auto"/>
        <w:ind w:firstLine="490"/>
        <w:rPr>
          <w:rFonts w:hint="eastAsia" w:ascii="宋体" w:hAnsi="宋体"/>
          <w:color w:val="auto"/>
          <w:szCs w:val="21"/>
        </w:rPr>
      </w:pPr>
      <w:r>
        <w:rPr>
          <w:rFonts w:hint="eastAsia" w:ascii="宋体" w:hAnsi="宋体"/>
          <w:color w:val="auto"/>
          <w:szCs w:val="21"/>
        </w:rPr>
        <w:t>7、除非另外达成协议并生效，你方的中标通知书和本投标文件将成为约束双方的合同文件的组成部分。</w:t>
      </w:r>
    </w:p>
    <w:p>
      <w:pPr>
        <w:spacing w:line="480" w:lineRule="auto"/>
        <w:ind w:left="1000"/>
        <w:rPr>
          <w:rFonts w:hint="eastAsia" w:ascii="宋体" w:hAnsi="宋体"/>
          <w:color w:val="auto"/>
          <w:szCs w:val="21"/>
        </w:rPr>
      </w:pPr>
      <w:r>
        <w:rPr>
          <w:rFonts w:hint="eastAsia" w:ascii="宋体" w:hAnsi="宋体"/>
          <w:color w:val="auto"/>
          <w:szCs w:val="21"/>
        </w:rPr>
        <w:t xml:space="preserve">    </w:t>
      </w:r>
    </w:p>
    <w:p>
      <w:pPr>
        <w:spacing w:line="480" w:lineRule="auto"/>
        <w:rPr>
          <w:rFonts w:hint="eastAsia" w:ascii="宋体" w:hAnsi="宋体"/>
          <w:color w:val="auto"/>
          <w:szCs w:val="21"/>
          <w:u w:val="single"/>
        </w:rPr>
      </w:pPr>
      <w:r>
        <w:rPr>
          <w:rFonts w:hint="eastAsia" w:ascii="宋体" w:hAnsi="宋体"/>
          <w:color w:val="auto"/>
          <w:szCs w:val="21"/>
        </w:rPr>
        <w:t xml:space="preserve">             投 标 人：</w:t>
      </w:r>
      <w:r>
        <w:rPr>
          <w:rFonts w:hint="eastAsia" w:ascii="宋体" w:hAnsi="宋体"/>
          <w:color w:val="auto"/>
          <w:szCs w:val="21"/>
          <w:u w:val="single"/>
        </w:rPr>
        <w:t xml:space="preserve">                                       </w:t>
      </w:r>
      <w:r>
        <w:rPr>
          <w:rFonts w:hint="eastAsia" w:ascii="宋体" w:hAnsi="宋体"/>
          <w:color w:val="auto"/>
          <w:szCs w:val="21"/>
        </w:rPr>
        <w:t>（盖公司法人公章）</w:t>
      </w:r>
    </w:p>
    <w:p>
      <w:pPr>
        <w:spacing w:line="480" w:lineRule="auto"/>
        <w:rPr>
          <w:rFonts w:hint="eastAsia" w:ascii="宋体" w:hAnsi="宋体"/>
          <w:color w:val="auto"/>
          <w:szCs w:val="21"/>
          <w:u w:val="single"/>
        </w:rPr>
      </w:pPr>
      <w:r>
        <w:rPr>
          <w:rFonts w:hint="eastAsia" w:ascii="宋体" w:hAnsi="宋体"/>
          <w:color w:val="auto"/>
          <w:szCs w:val="21"/>
        </w:rPr>
        <w:t xml:space="preserve">             单位地址：</w:t>
      </w:r>
      <w:r>
        <w:rPr>
          <w:rFonts w:hint="eastAsia" w:ascii="宋体" w:hAnsi="宋体"/>
          <w:color w:val="auto"/>
          <w:szCs w:val="21"/>
          <w:u w:val="single"/>
        </w:rPr>
        <w:tab/>
      </w:r>
      <w:r>
        <w:rPr>
          <w:rFonts w:hint="eastAsia" w:ascii="宋体" w:hAnsi="宋体"/>
          <w:color w:val="auto"/>
          <w:szCs w:val="21"/>
          <w:u w:val="single"/>
        </w:rPr>
        <w:tab/>
      </w:r>
      <w:r>
        <w:rPr>
          <w:rFonts w:hint="eastAsia" w:ascii="宋体" w:hAnsi="宋体"/>
          <w:color w:val="auto"/>
          <w:szCs w:val="21"/>
          <w:u w:val="single"/>
        </w:rPr>
        <w:tab/>
      </w:r>
      <w:r>
        <w:rPr>
          <w:rFonts w:hint="eastAsia" w:ascii="宋体" w:hAnsi="宋体"/>
          <w:color w:val="auto"/>
          <w:szCs w:val="21"/>
          <w:u w:val="single"/>
        </w:rPr>
        <w:tab/>
      </w:r>
      <w:r>
        <w:rPr>
          <w:rFonts w:hint="eastAsia" w:ascii="宋体" w:hAnsi="宋体"/>
          <w:color w:val="auto"/>
          <w:szCs w:val="21"/>
          <w:u w:val="single"/>
        </w:rPr>
        <w:tab/>
      </w:r>
      <w:r>
        <w:rPr>
          <w:rFonts w:hint="eastAsia" w:ascii="宋体" w:hAnsi="宋体"/>
          <w:color w:val="auto"/>
          <w:szCs w:val="21"/>
          <w:u w:val="single"/>
        </w:rPr>
        <w:tab/>
      </w:r>
      <w:r>
        <w:rPr>
          <w:rFonts w:hint="eastAsia" w:ascii="宋体" w:hAnsi="宋体"/>
          <w:color w:val="auto"/>
          <w:szCs w:val="21"/>
          <w:u w:val="single"/>
        </w:rPr>
        <w:tab/>
      </w:r>
      <w:r>
        <w:rPr>
          <w:rFonts w:hint="eastAsia" w:ascii="宋体" w:hAnsi="宋体"/>
          <w:color w:val="auto"/>
          <w:szCs w:val="21"/>
          <w:u w:val="single"/>
        </w:rPr>
        <w:tab/>
      </w:r>
      <w:r>
        <w:rPr>
          <w:rFonts w:hint="eastAsia" w:ascii="宋体" w:hAnsi="宋体"/>
          <w:color w:val="auto"/>
          <w:szCs w:val="21"/>
          <w:u w:val="single"/>
        </w:rPr>
        <w:t xml:space="preserve">                       </w:t>
      </w:r>
    </w:p>
    <w:p>
      <w:pPr>
        <w:spacing w:line="480" w:lineRule="auto"/>
        <w:rPr>
          <w:rFonts w:hint="eastAsia" w:ascii="宋体" w:hAnsi="宋体"/>
          <w:color w:val="auto"/>
          <w:szCs w:val="21"/>
          <w:u w:val="single"/>
        </w:rPr>
      </w:pPr>
      <w:r>
        <w:rPr>
          <w:rFonts w:hint="eastAsia" w:ascii="宋体" w:hAnsi="宋体"/>
          <w:color w:val="auto"/>
          <w:szCs w:val="21"/>
        </w:rPr>
        <w:t xml:space="preserve">             </w:t>
      </w:r>
      <w:r>
        <w:rPr>
          <w:rFonts w:hint="eastAsia"/>
          <w:color w:val="auto"/>
          <w:szCs w:val="21"/>
        </w:rPr>
        <w:t>法定代表人或委托代理人</w:t>
      </w:r>
      <w:r>
        <w:rPr>
          <w:rFonts w:hint="eastAsia" w:ascii="宋体" w:hAnsi="宋体"/>
          <w:color w:val="auto"/>
          <w:szCs w:val="21"/>
        </w:rPr>
        <w:t>：</w:t>
      </w:r>
      <w:r>
        <w:rPr>
          <w:rFonts w:hint="eastAsia" w:ascii="宋体" w:hAnsi="宋体"/>
          <w:color w:val="auto"/>
          <w:szCs w:val="21"/>
          <w:u w:val="single"/>
        </w:rPr>
        <w:t xml:space="preserve">                           </w:t>
      </w:r>
      <w:r>
        <w:rPr>
          <w:rFonts w:hint="eastAsia"/>
          <w:color w:val="auto"/>
          <w:szCs w:val="21"/>
        </w:rPr>
        <w:t>（签字或盖私章）</w:t>
      </w:r>
    </w:p>
    <w:p>
      <w:pPr>
        <w:spacing w:line="480" w:lineRule="auto"/>
        <w:rPr>
          <w:rFonts w:hint="eastAsia" w:ascii="宋体" w:hAnsi="宋体"/>
          <w:color w:val="auto"/>
          <w:szCs w:val="21"/>
          <w:u w:val="single"/>
        </w:rPr>
      </w:pPr>
      <w:r>
        <w:rPr>
          <w:rFonts w:hint="eastAsia" w:ascii="宋体" w:hAnsi="宋体"/>
          <w:color w:val="auto"/>
          <w:szCs w:val="21"/>
        </w:rPr>
        <w:t xml:space="preserve">             邮政编码：</w:t>
      </w:r>
      <w:r>
        <w:rPr>
          <w:rFonts w:hint="eastAsia" w:ascii="宋体" w:hAnsi="宋体"/>
          <w:color w:val="auto"/>
          <w:szCs w:val="21"/>
          <w:u w:val="single"/>
        </w:rPr>
        <w:tab/>
      </w:r>
      <w:r>
        <w:rPr>
          <w:rFonts w:hint="eastAsia" w:ascii="宋体" w:hAnsi="宋体"/>
          <w:color w:val="auto"/>
          <w:szCs w:val="21"/>
          <w:u w:val="single"/>
        </w:rPr>
        <w:t xml:space="preserve"> </w:t>
      </w:r>
      <w:r>
        <w:rPr>
          <w:rFonts w:hint="eastAsia" w:ascii="宋体" w:hAnsi="宋体"/>
          <w:color w:val="auto"/>
          <w:szCs w:val="21"/>
          <w:u w:val="single"/>
        </w:rPr>
        <w:tab/>
      </w:r>
      <w:r>
        <w:rPr>
          <w:rFonts w:hint="eastAsia" w:ascii="宋体" w:hAnsi="宋体"/>
          <w:color w:val="auto"/>
          <w:szCs w:val="21"/>
          <w:u w:val="single"/>
        </w:rPr>
        <w:t xml:space="preserve">    </w:t>
      </w:r>
      <w:r>
        <w:rPr>
          <w:rFonts w:hint="eastAsia" w:ascii="宋体" w:hAnsi="宋体"/>
          <w:color w:val="auto"/>
          <w:szCs w:val="21"/>
        </w:rPr>
        <w:t>电话：</w:t>
      </w:r>
      <w:r>
        <w:rPr>
          <w:rFonts w:hint="eastAsia" w:ascii="宋体" w:hAnsi="宋体"/>
          <w:color w:val="auto"/>
          <w:szCs w:val="21"/>
          <w:u w:val="single"/>
        </w:rPr>
        <w:tab/>
      </w:r>
      <w:r>
        <w:rPr>
          <w:rFonts w:hint="eastAsia" w:ascii="宋体" w:hAnsi="宋体"/>
          <w:color w:val="auto"/>
          <w:szCs w:val="21"/>
          <w:u w:val="single"/>
        </w:rPr>
        <w:t xml:space="preserve">            </w:t>
      </w:r>
      <w:r>
        <w:rPr>
          <w:rFonts w:hint="eastAsia" w:ascii="宋体" w:hAnsi="宋体"/>
          <w:color w:val="auto"/>
          <w:szCs w:val="21"/>
          <w:u w:val="single"/>
        </w:rPr>
        <w:tab/>
      </w:r>
      <w:r>
        <w:rPr>
          <w:rFonts w:hint="eastAsia" w:ascii="宋体" w:hAnsi="宋体"/>
          <w:color w:val="auto"/>
          <w:szCs w:val="21"/>
        </w:rPr>
        <w:t xml:space="preserve"> 传真：</w:t>
      </w:r>
      <w:r>
        <w:rPr>
          <w:rFonts w:hint="eastAsia" w:ascii="宋体" w:hAnsi="宋体"/>
          <w:color w:val="auto"/>
          <w:szCs w:val="21"/>
          <w:u w:val="single"/>
        </w:rPr>
        <w:tab/>
      </w:r>
      <w:r>
        <w:rPr>
          <w:rFonts w:hint="eastAsia" w:ascii="宋体" w:hAnsi="宋体"/>
          <w:color w:val="auto"/>
          <w:szCs w:val="21"/>
          <w:u w:val="single"/>
        </w:rPr>
        <w:t xml:space="preserve">      </w:t>
      </w:r>
      <w:r>
        <w:rPr>
          <w:rFonts w:hint="eastAsia" w:ascii="宋体" w:hAnsi="宋体"/>
          <w:color w:val="auto"/>
          <w:szCs w:val="21"/>
          <w:u w:val="single"/>
        </w:rPr>
        <w:tab/>
      </w:r>
    </w:p>
    <w:p>
      <w:pPr>
        <w:spacing w:line="480" w:lineRule="auto"/>
        <w:rPr>
          <w:rFonts w:hint="eastAsia" w:ascii="宋体" w:hAnsi="宋体"/>
          <w:color w:val="auto"/>
          <w:szCs w:val="21"/>
        </w:rPr>
      </w:pPr>
    </w:p>
    <w:p>
      <w:pPr>
        <w:spacing w:line="480" w:lineRule="auto"/>
        <w:ind w:firstLine="5355" w:firstLineChars="2550"/>
        <w:rPr>
          <w:rFonts w:hint="eastAsia" w:ascii="宋体" w:hAnsi="宋体"/>
          <w:color w:val="auto"/>
          <w:szCs w:val="21"/>
        </w:rPr>
      </w:pPr>
      <w:r>
        <w:rPr>
          <w:rFonts w:hint="eastAsia" w:ascii="宋体" w:hAnsi="宋体"/>
          <w:color w:val="auto"/>
          <w:szCs w:val="21"/>
        </w:rPr>
        <w:t>日期：</w:t>
      </w:r>
      <w:r>
        <w:rPr>
          <w:rFonts w:hint="eastAsia" w:ascii="宋体" w:hAnsi="宋体"/>
          <w:color w:val="auto"/>
          <w:szCs w:val="21"/>
          <w:u w:val="single"/>
        </w:rPr>
        <w:t xml:space="preserve">      </w:t>
      </w:r>
      <w:r>
        <w:rPr>
          <w:rFonts w:hint="eastAsia" w:ascii="宋体" w:hAnsi="宋体"/>
          <w:color w:val="auto"/>
          <w:szCs w:val="21"/>
        </w:rPr>
        <w:t>年</w:t>
      </w:r>
      <w:r>
        <w:rPr>
          <w:rFonts w:hint="eastAsia" w:ascii="宋体" w:hAnsi="宋体"/>
          <w:color w:val="auto"/>
          <w:szCs w:val="21"/>
          <w:u w:val="single"/>
        </w:rPr>
        <w:t xml:space="preserve">    </w:t>
      </w:r>
      <w:r>
        <w:rPr>
          <w:rFonts w:hint="eastAsia" w:ascii="宋体" w:hAnsi="宋体"/>
          <w:color w:val="auto"/>
          <w:szCs w:val="21"/>
        </w:rPr>
        <w:t>月</w:t>
      </w:r>
      <w:r>
        <w:rPr>
          <w:rFonts w:hint="eastAsia" w:ascii="宋体" w:hAnsi="宋体"/>
          <w:color w:val="auto"/>
          <w:szCs w:val="21"/>
          <w:u w:val="single"/>
        </w:rPr>
        <w:t xml:space="preserve">    </w:t>
      </w:r>
      <w:r>
        <w:rPr>
          <w:rFonts w:hint="eastAsia" w:ascii="宋体" w:hAnsi="宋体"/>
          <w:color w:val="auto"/>
          <w:szCs w:val="21"/>
        </w:rPr>
        <w:t>日</w:t>
      </w:r>
    </w:p>
    <w:p>
      <w:pPr>
        <w:spacing w:line="480" w:lineRule="auto"/>
        <w:ind w:firstLine="5355" w:firstLineChars="2550"/>
        <w:rPr>
          <w:rFonts w:hint="eastAsia" w:ascii="宋体" w:hAnsi="宋体"/>
          <w:color w:val="auto"/>
          <w:szCs w:val="21"/>
        </w:rPr>
      </w:pPr>
    </w:p>
    <w:p>
      <w:pPr>
        <w:pStyle w:val="10"/>
        <w:widowControl/>
        <w:spacing w:line="480" w:lineRule="auto"/>
        <w:ind w:left="0" w:leftChars="0"/>
        <w:rPr>
          <w:rFonts w:ascii="宋体" w:hAnsi="宋体"/>
          <w:b/>
          <w:color w:val="auto"/>
          <w:szCs w:val="21"/>
        </w:rPr>
      </w:pPr>
      <w:r>
        <w:rPr>
          <w:rFonts w:hint="eastAsia" w:ascii="宋体" w:hAnsi="宋体"/>
          <w:b/>
          <w:color w:val="auto"/>
          <w:szCs w:val="21"/>
        </w:rPr>
        <w:t xml:space="preserve"> （注：1、本投标函须每页加盖投标人公司法人公章；本投标文件必须按规定的格式打印,手写、涂改无效。2、大写金额数字用“</w:t>
      </w:r>
      <w:r>
        <w:rPr>
          <w:rFonts w:ascii="宋体" w:hAnsi="宋体"/>
          <w:b/>
          <w:color w:val="auto"/>
          <w:szCs w:val="21"/>
        </w:rPr>
        <w:t>零、壹、贰、叁、肆、伍、陆、柒、捌、玖</w:t>
      </w:r>
      <w:r>
        <w:rPr>
          <w:rFonts w:hint="eastAsia" w:ascii="宋体" w:hAnsi="宋体"/>
          <w:b/>
          <w:color w:val="auto"/>
          <w:szCs w:val="21"/>
        </w:rPr>
        <w:t>”填写。）</w:t>
      </w:r>
    </w:p>
    <w:p>
      <w:pPr>
        <w:pStyle w:val="10"/>
        <w:widowControl/>
        <w:spacing w:line="480" w:lineRule="auto"/>
        <w:ind w:left="0" w:leftChars="0"/>
        <w:rPr>
          <w:rFonts w:ascii="宋体" w:hAnsi="宋体"/>
          <w:b/>
          <w:color w:val="auto"/>
          <w:szCs w:val="21"/>
        </w:rPr>
      </w:pPr>
    </w:p>
    <w:p>
      <w:pPr>
        <w:spacing w:line="360" w:lineRule="auto"/>
        <w:jc w:val="left"/>
        <w:rPr>
          <w:rFonts w:hint="eastAsia" w:ascii="宋体" w:hAnsi="宋体"/>
          <w:b/>
          <w:color w:val="auto"/>
          <w:kern w:val="0"/>
          <w:sz w:val="32"/>
          <w:szCs w:val="20"/>
        </w:rPr>
      </w:pPr>
      <w:r>
        <w:rPr>
          <w:rFonts w:hint="eastAsia" w:ascii="宋体" w:hAnsi="宋体"/>
          <w:b/>
          <w:color w:val="auto"/>
          <w:kern w:val="0"/>
          <w:sz w:val="32"/>
          <w:szCs w:val="20"/>
        </w:rPr>
        <w:br w:type="page"/>
      </w:r>
      <w:r>
        <w:rPr>
          <w:rFonts w:hint="eastAsia" w:ascii="宋体" w:hAnsi="宋体"/>
          <w:b/>
          <w:color w:val="auto"/>
          <w:kern w:val="0"/>
          <w:sz w:val="32"/>
          <w:szCs w:val="20"/>
        </w:rPr>
        <w:t>附件6：</w:t>
      </w:r>
    </w:p>
    <w:p>
      <w:pPr>
        <w:ind w:firstLine="723" w:firstLineChars="200"/>
        <w:jc w:val="center"/>
        <w:rPr>
          <w:rFonts w:hint="eastAsia"/>
          <w:b/>
          <w:bCs/>
          <w:color w:val="auto"/>
          <w:sz w:val="36"/>
          <w:szCs w:val="36"/>
        </w:rPr>
      </w:pPr>
      <w:r>
        <w:rPr>
          <w:rFonts w:hint="eastAsia"/>
          <w:b/>
          <w:bCs/>
          <w:color w:val="auto"/>
          <w:sz w:val="36"/>
          <w:szCs w:val="36"/>
        </w:rPr>
        <w:t>工程量清单</w:t>
      </w:r>
    </w:p>
    <w:p>
      <w:pPr>
        <w:ind w:firstLine="643" w:firstLineChars="200"/>
        <w:jc w:val="center"/>
        <w:rPr>
          <w:rFonts w:hint="eastAsia"/>
          <w:b/>
          <w:bCs/>
          <w:color w:val="auto"/>
          <w:sz w:val="32"/>
          <w:szCs w:val="32"/>
        </w:rPr>
      </w:pPr>
      <w:r>
        <w:rPr>
          <w:rFonts w:hint="eastAsia"/>
          <w:b/>
          <w:bCs/>
          <w:color w:val="auto"/>
          <w:sz w:val="32"/>
          <w:szCs w:val="32"/>
        </w:rPr>
        <w:t>（详附件）</w:t>
      </w:r>
    </w:p>
    <w:p>
      <w:pPr>
        <w:spacing w:line="360" w:lineRule="auto"/>
        <w:jc w:val="left"/>
        <w:rPr>
          <w:rFonts w:hint="eastAsia" w:ascii="宋体" w:hAnsi="宋体"/>
          <w:b/>
          <w:color w:val="auto"/>
          <w:szCs w:val="21"/>
        </w:rPr>
      </w:pPr>
      <w:r>
        <w:rPr>
          <w:rFonts w:hint="eastAsia" w:ascii="宋体" w:hAnsi="宋体"/>
          <w:b/>
          <w:color w:val="auto"/>
          <w:kern w:val="0"/>
          <w:sz w:val="32"/>
          <w:szCs w:val="20"/>
        </w:rPr>
        <w:br w:type="page"/>
      </w:r>
      <w:r>
        <w:rPr>
          <w:rFonts w:hint="eastAsia" w:ascii="宋体" w:hAnsi="宋体"/>
          <w:b/>
          <w:color w:val="auto"/>
          <w:kern w:val="0"/>
          <w:sz w:val="32"/>
          <w:szCs w:val="20"/>
        </w:rPr>
        <w:br w:type="page"/>
      </w:r>
      <w:r>
        <w:rPr>
          <w:rFonts w:hint="eastAsia" w:ascii="宋体" w:hAnsi="宋体"/>
          <w:b/>
          <w:color w:val="auto"/>
          <w:kern w:val="0"/>
          <w:sz w:val="32"/>
          <w:szCs w:val="20"/>
        </w:rPr>
        <w:t xml:space="preserve">附件7： </w:t>
      </w:r>
      <w:r>
        <w:rPr>
          <w:rFonts w:hint="eastAsia" w:ascii="宋体" w:hAnsi="宋体"/>
          <w:b/>
          <w:color w:val="auto"/>
          <w:sz w:val="24"/>
          <w:szCs w:val="28"/>
        </w:rPr>
        <w:t>包含但不限于以下资料（复印加盖公章）</w:t>
      </w:r>
    </w:p>
    <w:p>
      <w:pPr>
        <w:numPr>
          <w:ilvl w:val="0"/>
          <w:numId w:val="1"/>
        </w:numPr>
        <w:snapToGrid w:val="0"/>
        <w:spacing w:line="360" w:lineRule="auto"/>
        <w:ind w:left="1256" w:leftChars="428" w:hanging="357" w:hangingChars="149"/>
        <w:rPr>
          <w:rFonts w:hint="eastAsia" w:ascii="宋体" w:hAnsi="宋体"/>
          <w:color w:val="auto"/>
          <w:sz w:val="24"/>
          <w:szCs w:val="28"/>
        </w:rPr>
      </w:pPr>
      <w:r>
        <w:rPr>
          <w:rFonts w:hint="eastAsia" w:ascii="宋体" w:hAnsi="宋体"/>
          <w:color w:val="auto"/>
          <w:sz w:val="24"/>
          <w:szCs w:val="28"/>
        </w:rPr>
        <w:t>投标人的营业执照。</w:t>
      </w:r>
    </w:p>
    <w:p>
      <w:pPr>
        <w:numPr>
          <w:ilvl w:val="0"/>
          <w:numId w:val="1"/>
        </w:numPr>
        <w:snapToGrid w:val="0"/>
        <w:spacing w:line="360" w:lineRule="auto"/>
        <w:ind w:left="1256" w:leftChars="428" w:hanging="357" w:hangingChars="149"/>
        <w:rPr>
          <w:rFonts w:hint="eastAsia" w:ascii="宋体" w:hAnsi="宋体"/>
          <w:color w:val="auto"/>
          <w:sz w:val="24"/>
          <w:szCs w:val="28"/>
        </w:rPr>
      </w:pPr>
      <w:r>
        <w:rPr>
          <w:rFonts w:hint="eastAsia" w:ascii="宋体" w:hAnsi="宋体"/>
          <w:color w:val="auto"/>
          <w:sz w:val="24"/>
          <w:szCs w:val="28"/>
        </w:rPr>
        <w:t>投标人的资质证书（如有）。</w:t>
      </w:r>
    </w:p>
    <w:p>
      <w:pPr>
        <w:numPr>
          <w:ilvl w:val="0"/>
          <w:numId w:val="1"/>
        </w:numPr>
        <w:snapToGrid w:val="0"/>
        <w:spacing w:line="360" w:lineRule="auto"/>
        <w:ind w:left="1256" w:leftChars="428" w:hanging="357" w:hangingChars="149"/>
        <w:rPr>
          <w:rFonts w:hint="eastAsia" w:ascii="宋体" w:hAnsi="宋体"/>
          <w:color w:val="auto"/>
          <w:sz w:val="24"/>
          <w:szCs w:val="28"/>
        </w:rPr>
      </w:pPr>
      <w:r>
        <w:rPr>
          <w:rFonts w:hint="eastAsia" w:ascii="宋体" w:hAnsi="宋体"/>
          <w:color w:val="auto"/>
          <w:sz w:val="24"/>
          <w:szCs w:val="28"/>
        </w:rPr>
        <w:t>投标人的安全生产许可证（如有）。</w:t>
      </w:r>
    </w:p>
    <w:p>
      <w:pPr>
        <w:numPr>
          <w:ilvl w:val="0"/>
          <w:numId w:val="1"/>
        </w:numPr>
        <w:snapToGrid w:val="0"/>
        <w:spacing w:line="360" w:lineRule="auto"/>
        <w:ind w:left="1256" w:leftChars="428" w:hanging="357" w:hangingChars="149"/>
        <w:rPr>
          <w:rFonts w:hint="eastAsia" w:ascii="宋体" w:hAnsi="宋体"/>
          <w:color w:val="auto"/>
          <w:sz w:val="24"/>
          <w:szCs w:val="28"/>
        </w:rPr>
      </w:pPr>
      <w:r>
        <w:rPr>
          <w:rFonts w:hint="eastAsia" w:ascii="宋体" w:hAnsi="宋体"/>
          <w:color w:val="auto"/>
          <w:sz w:val="24"/>
          <w:szCs w:val="28"/>
        </w:rPr>
        <w:t>投标人的基本开户许可证。</w:t>
      </w:r>
    </w:p>
    <w:p>
      <w:pPr>
        <w:ind w:firstLine="643" w:firstLineChars="200"/>
        <w:rPr>
          <w:rFonts w:hint="eastAsia" w:ascii="宋体" w:hAnsi="宋体"/>
          <w:b/>
          <w:color w:val="auto"/>
          <w:kern w:val="0"/>
          <w:sz w:val="32"/>
          <w:szCs w:val="20"/>
        </w:rPr>
      </w:pPr>
      <w:r>
        <w:rPr>
          <w:rFonts w:ascii="宋体" w:hAnsi="宋体"/>
          <w:b/>
          <w:color w:val="auto"/>
          <w:kern w:val="0"/>
          <w:sz w:val="32"/>
          <w:szCs w:val="20"/>
        </w:rPr>
        <w:br w:type="page"/>
      </w:r>
      <w:bookmarkEnd w:id="23"/>
      <w:bookmarkEnd w:id="24"/>
      <w:bookmarkEnd w:id="25"/>
      <w:r>
        <w:rPr>
          <w:rFonts w:hint="eastAsia" w:ascii="宋体" w:hAnsi="宋体"/>
          <w:b/>
          <w:color w:val="auto"/>
          <w:kern w:val="0"/>
          <w:sz w:val="32"/>
          <w:szCs w:val="20"/>
        </w:rPr>
        <w:t>附件8：其他资料（如有）</w:t>
      </w:r>
    </w:p>
    <w:p>
      <w:pPr>
        <w:tabs>
          <w:tab w:val="left" w:pos="840"/>
        </w:tabs>
        <w:spacing w:line="360" w:lineRule="auto"/>
        <w:ind w:firstLine="424" w:firstLineChars="202"/>
        <w:rPr>
          <w:rFonts w:ascii="宋体" w:hAnsi="宋体" w:cs="宋体"/>
          <w:color w:val="auto"/>
          <w:kern w:val="0"/>
          <w:szCs w:val="21"/>
        </w:rPr>
      </w:pPr>
      <w:r>
        <w:rPr>
          <w:rFonts w:hint="eastAsia" w:ascii="宋体" w:hAnsi="宋体" w:cs="宋体"/>
          <w:color w:val="auto"/>
          <w:kern w:val="0"/>
          <w:szCs w:val="21"/>
        </w:rPr>
        <w:t>（1）企业实力的相关证明材料（不作强制性要求，由投标人自行编制，并附相关证明材料；联合体参加投标时，可根据本项目评标办法要求提交）；</w:t>
      </w:r>
    </w:p>
    <w:p>
      <w:pPr>
        <w:tabs>
          <w:tab w:val="left" w:pos="840"/>
        </w:tabs>
        <w:spacing w:line="360" w:lineRule="auto"/>
        <w:ind w:firstLine="424" w:firstLineChars="202"/>
        <w:rPr>
          <w:rFonts w:ascii="宋体" w:hAnsi="宋体" w:cs="宋体"/>
          <w:color w:val="auto"/>
          <w:kern w:val="0"/>
          <w:szCs w:val="21"/>
        </w:rPr>
      </w:pPr>
      <w:r>
        <w:rPr>
          <w:rFonts w:hint="eastAsia" w:ascii="宋体" w:hAnsi="宋体" w:cs="宋体"/>
          <w:color w:val="auto"/>
          <w:kern w:val="0"/>
          <w:szCs w:val="21"/>
        </w:rPr>
        <w:t>（2）其他辅助说明资料。（如有，附相关证明资料复印件，格式自定）</w:t>
      </w:r>
    </w:p>
    <w:p>
      <w:pPr>
        <w:tabs>
          <w:tab w:val="left" w:pos="840"/>
        </w:tabs>
        <w:spacing w:line="360" w:lineRule="auto"/>
        <w:ind w:firstLine="424" w:firstLineChars="202"/>
        <w:rPr>
          <w:rFonts w:ascii="宋体" w:hAnsi="宋体" w:cs="宋体"/>
          <w:color w:val="auto"/>
          <w:kern w:val="0"/>
          <w:szCs w:val="21"/>
        </w:rPr>
      </w:pPr>
      <w:r>
        <w:rPr>
          <w:rFonts w:hint="eastAsia" w:ascii="宋体" w:hAnsi="宋体" w:cs="宋体"/>
          <w:color w:val="auto"/>
          <w:kern w:val="0"/>
          <w:szCs w:val="21"/>
        </w:rPr>
        <w:t>备注：上述投标人提供的相关辅助说明材料，均须加盖企业法人公章；如以联合体形式投标的，由联合体牵头人加盖公司法人公章。</w:t>
      </w:r>
    </w:p>
    <w:p>
      <w:pPr>
        <w:spacing w:line="360" w:lineRule="auto"/>
        <w:ind w:firstLine="643" w:firstLineChars="200"/>
        <w:rPr>
          <w:rFonts w:hint="eastAsia" w:ascii="宋体" w:hAnsi="宋体"/>
          <w:b/>
          <w:color w:val="auto"/>
          <w:kern w:val="0"/>
          <w:sz w:val="32"/>
          <w:szCs w:val="20"/>
        </w:rPr>
      </w:pPr>
    </w:p>
    <w:p>
      <w:pPr>
        <w:widowControl/>
        <w:snapToGrid w:val="0"/>
        <w:spacing w:line="360" w:lineRule="auto"/>
        <w:ind w:firstLine="803" w:firstLineChars="250"/>
        <w:jc w:val="center"/>
        <w:rPr>
          <w:rFonts w:hint="eastAsia" w:eastAsia="黑体"/>
          <w:b/>
          <w:bCs/>
          <w:color w:val="auto"/>
          <w:sz w:val="32"/>
        </w:rPr>
      </w:pPr>
    </w:p>
    <w:p>
      <w:pPr>
        <w:widowControl/>
        <w:snapToGrid w:val="0"/>
        <w:spacing w:line="360" w:lineRule="auto"/>
        <w:ind w:firstLine="803" w:firstLineChars="250"/>
        <w:jc w:val="center"/>
        <w:rPr>
          <w:rFonts w:hint="eastAsia" w:eastAsia="黑体"/>
          <w:b/>
          <w:bCs/>
          <w:color w:val="auto"/>
          <w:sz w:val="32"/>
        </w:rPr>
      </w:pPr>
    </w:p>
    <w:p>
      <w:pPr>
        <w:widowControl/>
        <w:snapToGrid w:val="0"/>
        <w:spacing w:line="360" w:lineRule="auto"/>
        <w:ind w:firstLine="803" w:firstLineChars="250"/>
        <w:jc w:val="center"/>
        <w:rPr>
          <w:rFonts w:hint="eastAsia" w:eastAsia="黑体"/>
          <w:b/>
          <w:bCs/>
          <w:color w:val="auto"/>
          <w:sz w:val="32"/>
        </w:rPr>
      </w:pPr>
    </w:p>
    <w:p>
      <w:pPr>
        <w:widowControl/>
        <w:snapToGrid w:val="0"/>
        <w:spacing w:line="360" w:lineRule="auto"/>
        <w:ind w:firstLine="803" w:firstLineChars="250"/>
        <w:jc w:val="center"/>
        <w:rPr>
          <w:rFonts w:hint="eastAsia" w:eastAsia="黑体"/>
          <w:b/>
          <w:bCs/>
          <w:color w:val="auto"/>
          <w:sz w:val="32"/>
        </w:rPr>
      </w:pPr>
    </w:p>
    <w:p>
      <w:pPr>
        <w:widowControl/>
        <w:snapToGrid w:val="0"/>
        <w:spacing w:line="360" w:lineRule="auto"/>
        <w:ind w:firstLine="803" w:firstLineChars="250"/>
        <w:jc w:val="center"/>
        <w:rPr>
          <w:rFonts w:hint="eastAsia" w:eastAsia="黑体"/>
          <w:b/>
          <w:bCs/>
          <w:color w:val="auto"/>
          <w:sz w:val="32"/>
        </w:rPr>
      </w:pPr>
    </w:p>
    <w:p>
      <w:pPr>
        <w:widowControl/>
        <w:snapToGrid w:val="0"/>
        <w:spacing w:line="360" w:lineRule="auto"/>
        <w:ind w:firstLine="803" w:firstLineChars="250"/>
        <w:jc w:val="center"/>
        <w:rPr>
          <w:rFonts w:hint="eastAsia" w:eastAsia="黑体"/>
          <w:b/>
          <w:bCs/>
          <w:color w:val="auto"/>
          <w:sz w:val="32"/>
        </w:rPr>
      </w:pPr>
    </w:p>
    <w:p>
      <w:pPr>
        <w:widowControl/>
        <w:snapToGrid w:val="0"/>
        <w:spacing w:line="360" w:lineRule="auto"/>
        <w:ind w:firstLine="803" w:firstLineChars="250"/>
        <w:jc w:val="center"/>
        <w:rPr>
          <w:rFonts w:hint="eastAsia" w:eastAsia="黑体"/>
          <w:b/>
          <w:bCs/>
          <w:color w:val="auto"/>
          <w:sz w:val="32"/>
        </w:rPr>
      </w:pPr>
    </w:p>
    <w:p>
      <w:pPr>
        <w:widowControl/>
        <w:snapToGrid w:val="0"/>
        <w:spacing w:line="360" w:lineRule="auto"/>
        <w:ind w:firstLine="803" w:firstLineChars="250"/>
        <w:jc w:val="center"/>
        <w:rPr>
          <w:rFonts w:hint="eastAsia" w:eastAsia="黑体"/>
          <w:b/>
          <w:bCs/>
          <w:color w:val="auto"/>
          <w:sz w:val="32"/>
        </w:rPr>
      </w:pPr>
    </w:p>
    <w:p>
      <w:pPr>
        <w:widowControl/>
        <w:snapToGrid w:val="0"/>
        <w:spacing w:line="360" w:lineRule="auto"/>
        <w:ind w:firstLine="803" w:firstLineChars="250"/>
        <w:jc w:val="center"/>
        <w:rPr>
          <w:rFonts w:hint="eastAsia" w:eastAsia="黑体"/>
          <w:b/>
          <w:bCs/>
          <w:color w:val="auto"/>
          <w:sz w:val="32"/>
        </w:rPr>
      </w:pPr>
    </w:p>
    <w:p>
      <w:pPr>
        <w:widowControl/>
        <w:snapToGrid w:val="0"/>
        <w:spacing w:line="360" w:lineRule="auto"/>
        <w:ind w:firstLine="803" w:firstLineChars="250"/>
        <w:jc w:val="center"/>
        <w:rPr>
          <w:rFonts w:hint="eastAsia" w:eastAsia="黑体"/>
          <w:b/>
          <w:bCs/>
          <w:color w:val="auto"/>
          <w:sz w:val="32"/>
        </w:rPr>
      </w:pPr>
    </w:p>
    <w:p>
      <w:pPr>
        <w:widowControl/>
        <w:snapToGrid w:val="0"/>
        <w:spacing w:line="360" w:lineRule="auto"/>
        <w:ind w:firstLine="803" w:firstLineChars="250"/>
        <w:jc w:val="center"/>
        <w:rPr>
          <w:rFonts w:hint="eastAsia" w:eastAsia="黑体"/>
          <w:b/>
          <w:bCs/>
          <w:color w:val="auto"/>
          <w:sz w:val="32"/>
        </w:rPr>
      </w:pPr>
    </w:p>
    <w:p>
      <w:pPr>
        <w:widowControl/>
        <w:snapToGrid w:val="0"/>
        <w:spacing w:line="360" w:lineRule="auto"/>
        <w:ind w:firstLine="803" w:firstLineChars="250"/>
        <w:jc w:val="center"/>
        <w:rPr>
          <w:rFonts w:hint="eastAsia" w:eastAsia="黑体"/>
          <w:b/>
          <w:bCs/>
          <w:color w:val="auto"/>
          <w:sz w:val="32"/>
        </w:rPr>
      </w:pPr>
    </w:p>
    <w:p>
      <w:pPr>
        <w:widowControl/>
        <w:snapToGrid w:val="0"/>
        <w:spacing w:line="360" w:lineRule="auto"/>
        <w:ind w:firstLine="803" w:firstLineChars="250"/>
        <w:jc w:val="center"/>
        <w:rPr>
          <w:rFonts w:hint="eastAsia" w:eastAsia="黑体"/>
          <w:b/>
          <w:bCs/>
          <w:color w:val="auto"/>
          <w:sz w:val="32"/>
        </w:rPr>
      </w:pPr>
    </w:p>
    <w:p>
      <w:pPr>
        <w:widowControl/>
        <w:snapToGrid w:val="0"/>
        <w:spacing w:line="360" w:lineRule="auto"/>
        <w:ind w:firstLine="803" w:firstLineChars="250"/>
        <w:jc w:val="center"/>
        <w:rPr>
          <w:rFonts w:hint="eastAsia" w:eastAsia="黑体"/>
          <w:b/>
          <w:bCs/>
          <w:color w:val="auto"/>
          <w:sz w:val="32"/>
        </w:rPr>
      </w:pPr>
    </w:p>
    <w:p>
      <w:pPr>
        <w:widowControl/>
        <w:snapToGrid w:val="0"/>
        <w:spacing w:line="360" w:lineRule="auto"/>
        <w:ind w:firstLine="803" w:firstLineChars="250"/>
        <w:jc w:val="center"/>
        <w:rPr>
          <w:rFonts w:hint="eastAsia" w:eastAsia="黑体"/>
          <w:b/>
          <w:bCs/>
          <w:color w:val="auto"/>
          <w:sz w:val="32"/>
        </w:rPr>
      </w:pPr>
    </w:p>
    <w:p>
      <w:pPr>
        <w:widowControl/>
        <w:snapToGrid w:val="0"/>
        <w:spacing w:line="360" w:lineRule="auto"/>
        <w:ind w:firstLine="803" w:firstLineChars="250"/>
        <w:jc w:val="center"/>
        <w:rPr>
          <w:rFonts w:hint="eastAsia" w:eastAsia="黑体"/>
          <w:b/>
          <w:bCs/>
          <w:color w:val="auto"/>
          <w:sz w:val="32"/>
        </w:rPr>
      </w:pPr>
    </w:p>
    <w:p>
      <w:pPr>
        <w:widowControl/>
        <w:snapToGrid w:val="0"/>
        <w:spacing w:line="360" w:lineRule="auto"/>
        <w:ind w:firstLine="803" w:firstLineChars="250"/>
        <w:jc w:val="center"/>
        <w:rPr>
          <w:rFonts w:hint="eastAsia" w:eastAsia="黑体"/>
          <w:b/>
          <w:bCs/>
          <w:color w:val="auto"/>
          <w:sz w:val="32"/>
        </w:rPr>
      </w:pPr>
    </w:p>
    <w:p>
      <w:pPr>
        <w:widowControl/>
        <w:snapToGrid w:val="0"/>
        <w:spacing w:line="360" w:lineRule="auto"/>
        <w:ind w:firstLine="803" w:firstLineChars="250"/>
        <w:jc w:val="center"/>
        <w:rPr>
          <w:rFonts w:hint="eastAsia" w:eastAsia="黑体"/>
          <w:b/>
          <w:bCs/>
          <w:color w:val="auto"/>
          <w:sz w:val="32"/>
        </w:rPr>
      </w:pPr>
    </w:p>
    <w:p>
      <w:pPr>
        <w:widowControl/>
        <w:snapToGrid w:val="0"/>
        <w:spacing w:line="360" w:lineRule="auto"/>
        <w:ind w:firstLine="803" w:firstLineChars="250"/>
        <w:jc w:val="center"/>
        <w:rPr>
          <w:rFonts w:hint="eastAsia" w:eastAsia="黑体"/>
          <w:b/>
          <w:bCs/>
          <w:color w:val="auto"/>
          <w:sz w:val="32"/>
        </w:rPr>
      </w:pPr>
    </w:p>
    <w:p>
      <w:pPr>
        <w:widowControl/>
        <w:snapToGrid w:val="0"/>
        <w:spacing w:line="360" w:lineRule="auto"/>
        <w:ind w:firstLine="803" w:firstLineChars="250"/>
        <w:jc w:val="center"/>
        <w:rPr>
          <w:rFonts w:hint="eastAsia" w:eastAsia="黑体"/>
          <w:b/>
          <w:bCs/>
          <w:color w:val="auto"/>
          <w:sz w:val="32"/>
        </w:rPr>
      </w:pPr>
    </w:p>
    <w:p>
      <w:pPr>
        <w:widowControl/>
        <w:snapToGrid w:val="0"/>
        <w:spacing w:line="360" w:lineRule="auto"/>
        <w:ind w:firstLine="803" w:firstLineChars="250"/>
        <w:jc w:val="center"/>
        <w:rPr>
          <w:rFonts w:hint="eastAsia" w:eastAsia="黑体"/>
          <w:b/>
          <w:bCs/>
          <w:color w:val="auto"/>
          <w:sz w:val="32"/>
        </w:rPr>
      </w:pPr>
    </w:p>
    <w:p>
      <w:pPr>
        <w:widowControl/>
        <w:snapToGrid w:val="0"/>
        <w:spacing w:line="360" w:lineRule="auto"/>
        <w:ind w:firstLine="803" w:firstLineChars="250"/>
        <w:jc w:val="center"/>
        <w:rPr>
          <w:rFonts w:hint="eastAsia" w:eastAsia="黑体"/>
          <w:b/>
          <w:bCs/>
          <w:color w:val="auto"/>
          <w:sz w:val="32"/>
        </w:rPr>
      </w:pPr>
    </w:p>
    <w:p>
      <w:pPr>
        <w:widowControl/>
        <w:snapToGrid w:val="0"/>
        <w:spacing w:line="360" w:lineRule="auto"/>
        <w:ind w:firstLine="803" w:firstLineChars="250"/>
        <w:jc w:val="center"/>
        <w:rPr>
          <w:rFonts w:hint="eastAsia" w:eastAsia="黑体"/>
          <w:b/>
          <w:bCs/>
          <w:color w:val="auto"/>
          <w:sz w:val="32"/>
        </w:rPr>
      </w:pPr>
    </w:p>
    <w:p>
      <w:pPr>
        <w:widowControl/>
        <w:snapToGrid w:val="0"/>
        <w:spacing w:line="360" w:lineRule="auto"/>
        <w:ind w:firstLine="803" w:firstLineChars="250"/>
        <w:jc w:val="center"/>
        <w:rPr>
          <w:rFonts w:hint="eastAsia" w:eastAsia="黑体"/>
          <w:b/>
          <w:bCs/>
          <w:color w:val="auto"/>
          <w:sz w:val="32"/>
        </w:rPr>
      </w:pPr>
    </w:p>
    <w:p>
      <w:pPr>
        <w:widowControl/>
        <w:snapToGrid w:val="0"/>
        <w:spacing w:line="360" w:lineRule="auto"/>
        <w:ind w:firstLine="803" w:firstLineChars="250"/>
        <w:jc w:val="center"/>
        <w:rPr>
          <w:rFonts w:hint="eastAsia" w:eastAsia="黑体"/>
          <w:b/>
          <w:bCs/>
          <w:color w:val="auto"/>
          <w:sz w:val="32"/>
        </w:rPr>
      </w:pPr>
    </w:p>
    <w:p>
      <w:pPr>
        <w:widowControl/>
        <w:snapToGrid w:val="0"/>
        <w:spacing w:line="360" w:lineRule="auto"/>
        <w:ind w:firstLine="803" w:firstLineChars="250"/>
        <w:jc w:val="center"/>
        <w:rPr>
          <w:rFonts w:hint="eastAsia" w:eastAsia="黑体"/>
          <w:b/>
          <w:bCs/>
          <w:color w:val="auto"/>
          <w:sz w:val="32"/>
        </w:rPr>
      </w:pPr>
    </w:p>
    <w:p>
      <w:pPr>
        <w:widowControl/>
        <w:snapToGrid w:val="0"/>
        <w:spacing w:line="360" w:lineRule="auto"/>
        <w:ind w:firstLine="803" w:firstLineChars="250"/>
        <w:jc w:val="center"/>
        <w:rPr>
          <w:rFonts w:hint="eastAsia" w:eastAsia="黑体"/>
          <w:b/>
          <w:bCs/>
          <w:color w:val="auto"/>
          <w:sz w:val="32"/>
        </w:rPr>
      </w:pPr>
    </w:p>
    <w:p>
      <w:pPr>
        <w:widowControl/>
        <w:snapToGrid w:val="0"/>
        <w:spacing w:line="360" w:lineRule="auto"/>
        <w:ind w:firstLine="803" w:firstLineChars="250"/>
        <w:jc w:val="center"/>
        <w:rPr>
          <w:rFonts w:hint="eastAsia" w:eastAsia="黑体"/>
          <w:b/>
          <w:bCs/>
          <w:color w:val="auto"/>
          <w:sz w:val="32"/>
        </w:rPr>
      </w:pPr>
    </w:p>
    <w:p>
      <w:pPr>
        <w:widowControl/>
        <w:snapToGrid w:val="0"/>
        <w:spacing w:line="360" w:lineRule="auto"/>
        <w:ind w:firstLine="803" w:firstLineChars="250"/>
        <w:jc w:val="center"/>
        <w:rPr>
          <w:rFonts w:hint="eastAsia" w:eastAsia="黑体"/>
          <w:b/>
          <w:bCs/>
          <w:color w:val="auto"/>
          <w:sz w:val="32"/>
        </w:rPr>
      </w:pPr>
    </w:p>
    <w:p>
      <w:pPr>
        <w:widowControl/>
        <w:snapToGrid w:val="0"/>
        <w:spacing w:line="360" w:lineRule="auto"/>
        <w:ind w:firstLine="803" w:firstLineChars="250"/>
        <w:jc w:val="center"/>
        <w:rPr>
          <w:rFonts w:hint="eastAsia" w:eastAsia="黑体"/>
          <w:b/>
          <w:bCs/>
          <w:color w:val="auto"/>
          <w:sz w:val="32"/>
        </w:rPr>
      </w:pPr>
    </w:p>
    <w:p>
      <w:pPr>
        <w:widowControl/>
        <w:snapToGrid w:val="0"/>
        <w:spacing w:line="360" w:lineRule="auto"/>
        <w:ind w:firstLine="803" w:firstLineChars="250"/>
        <w:jc w:val="center"/>
        <w:rPr>
          <w:rFonts w:hint="eastAsia" w:eastAsia="黑体"/>
          <w:b/>
          <w:bCs/>
          <w:color w:val="auto"/>
          <w:sz w:val="32"/>
        </w:rPr>
      </w:pPr>
    </w:p>
    <w:p>
      <w:pPr>
        <w:widowControl/>
        <w:snapToGrid w:val="0"/>
        <w:spacing w:line="360" w:lineRule="auto"/>
        <w:ind w:firstLine="803" w:firstLineChars="250"/>
        <w:jc w:val="center"/>
        <w:rPr>
          <w:rFonts w:eastAsia="黑体"/>
          <w:b/>
          <w:bCs/>
          <w:color w:val="auto"/>
          <w:sz w:val="32"/>
        </w:rPr>
      </w:pPr>
      <w:r>
        <w:rPr>
          <w:rFonts w:hint="eastAsia" w:eastAsia="黑体"/>
          <w:b/>
          <w:bCs/>
          <w:color w:val="auto"/>
          <w:sz w:val="32"/>
        </w:rPr>
        <w:t>第四部分 合同文件（格式）</w:t>
      </w:r>
    </w:p>
    <w:p>
      <w:pPr>
        <w:jc w:val="center"/>
        <w:rPr>
          <w:rFonts w:hint="eastAsia"/>
          <w:b/>
          <w:color w:val="auto"/>
          <w:szCs w:val="21"/>
          <w:u w:val="single"/>
        </w:rPr>
      </w:pPr>
      <w:r>
        <w:rPr>
          <w:rFonts w:eastAsia="黑体"/>
          <w:b/>
          <w:bCs/>
          <w:color w:val="auto"/>
          <w:sz w:val="32"/>
        </w:rPr>
        <w:br w:type="page"/>
      </w:r>
      <w:r>
        <w:rPr>
          <w:rFonts w:hint="eastAsia"/>
          <w:b/>
          <w:color w:val="auto"/>
          <w:szCs w:val="21"/>
        </w:rPr>
        <w:t xml:space="preserve">                          甲方合同编号：</w:t>
      </w:r>
    </w:p>
    <w:p>
      <w:pPr>
        <w:jc w:val="center"/>
        <w:rPr>
          <w:rFonts w:hint="eastAsia"/>
          <w:b/>
          <w:color w:val="auto"/>
          <w:sz w:val="52"/>
          <w:u w:val="single"/>
        </w:rPr>
      </w:pPr>
      <w:r>
        <w:rPr>
          <w:rFonts w:hint="eastAsia"/>
          <w:b/>
          <w:color w:val="auto"/>
          <w:szCs w:val="21"/>
        </w:rPr>
        <w:t xml:space="preserve">                          乙方合同编号：</w:t>
      </w:r>
    </w:p>
    <w:p>
      <w:pPr>
        <w:jc w:val="center"/>
        <w:rPr>
          <w:b/>
          <w:i/>
          <w:color w:val="auto"/>
          <w:sz w:val="52"/>
          <w:u w:val="single"/>
        </w:rPr>
      </w:pPr>
    </w:p>
    <w:p>
      <w:pPr>
        <w:jc w:val="center"/>
        <w:rPr>
          <w:color w:val="auto"/>
          <w:sz w:val="52"/>
        </w:rPr>
      </w:pPr>
      <w:r>
        <w:rPr>
          <w:rFonts w:hint="eastAsia"/>
          <w:color w:val="auto"/>
          <w:sz w:val="52"/>
        </w:rPr>
        <w:t>施工合同</w:t>
      </w:r>
    </w:p>
    <w:p>
      <w:pPr>
        <w:jc w:val="center"/>
        <w:rPr>
          <w:color w:val="auto"/>
          <w:sz w:val="52"/>
        </w:rPr>
      </w:pPr>
    </w:p>
    <w:p>
      <w:pPr>
        <w:tabs>
          <w:tab w:val="left" w:pos="1780"/>
        </w:tabs>
        <w:jc w:val="left"/>
        <w:rPr>
          <w:color w:val="auto"/>
          <w:sz w:val="28"/>
        </w:rPr>
      </w:pPr>
      <w:r>
        <w:rPr>
          <w:color w:val="auto"/>
          <w:sz w:val="28"/>
        </w:rPr>
        <w:tab/>
      </w:r>
    </w:p>
    <w:p>
      <w:pPr>
        <w:tabs>
          <w:tab w:val="left" w:pos="1780"/>
        </w:tabs>
        <w:jc w:val="left"/>
        <w:rPr>
          <w:color w:val="auto"/>
          <w:sz w:val="28"/>
        </w:rPr>
      </w:pPr>
    </w:p>
    <w:p>
      <w:pPr>
        <w:tabs>
          <w:tab w:val="left" w:pos="630"/>
        </w:tabs>
        <w:spacing w:line="1000" w:lineRule="exact"/>
        <w:ind w:firstLine="703" w:firstLineChars="250"/>
        <w:rPr>
          <w:b/>
          <w:color w:val="auto"/>
          <w:sz w:val="28"/>
          <w:u w:val="single"/>
        </w:rPr>
      </w:pPr>
      <w:r>
        <w:rPr>
          <w:rFonts w:hint="eastAsia"/>
          <w:b/>
          <w:color w:val="auto"/>
          <w:sz w:val="28"/>
        </w:rPr>
        <w:t>工程名称：</w:t>
      </w:r>
      <w:r>
        <w:rPr>
          <w:rFonts w:hint="eastAsia"/>
          <w:b/>
          <w:bCs/>
          <w:color w:val="auto"/>
          <w:sz w:val="24"/>
          <w:u w:val="single"/>
        </w:rPr>
        <w:t xml:space="preserve">                              </w:t>
      </w:r>
      <w:r>
        <w:rPr>
          <w:rFonts w:hint="eastAsia"/>
          <w:b/>
          <w:color w:val="auto"/>
          <w:sz w:val="28"/>
          <w:u w:val="single"/>
        </w:rPr>
        <w:t xml:space="preserve">          </w:t>
      </w:r>
    </w:p>
    <w:p>
      <w:pPr>
        <w:tabs>
          <w:tab w:val="left" w:pos="630"/>
        </w:tabs>
        <w:spacing w:line="1000" w:lineRule="exact"/>
        <w:ind w:firstLine="703" w:firstLineChars="250"/>
        <w:rPr>
          <w:rFonts w:ascii="宋体" w:hAnsi="宋体"/>
          <w:b/>
          <w:color w:val="auto"/>
          <w:sz w:val="28"/>
        </w:rPr>
      </w:pPr>
      <w:r>
        <w:rPr>
          <w:rFonts w:hint="eastAsia"/>
          <w:b/>
          <w:color w:val="auto"/>
          <w:sz w:val="28"/>
        </w:rPr>
        <w:t>工程地点：</w:t>
      </w:r>
      <w:r>
        <w:rPr>
          <w:rFonts w:hint="eastAsia"/>
          <w:b/>
          <w:color w:val="auto"/>
          <w:sz w:val="36"/>
          <w:szCs w:val="32"/>
          <w:u w:val="single"/>
        </w:rPr>
        <w:t xml:space="preserve"> </w:t>
      </w:r>
      <w:r>
        <w:rPr>
          <w:rFonts w:hint="eastAsia" w:ascii="宋体" w:hAnsi="宋体"/>
          <w:b/>
          <w:color w:val="auto"/>
          <w:kern w:val="0"/>
          <w:sz w:val="24"/>
          <w:szCs w:val="32"/>
          <w:u w:val="single"/>
        </w:rPr>
        <w:t xml:space="preserve">             </w:t>
      </w:r>
      <w:r>
        <w:rPr>
          <w:rFonts w:hint="eastAsia"/>
          <w:b/>
          <w:color w:val="auto"/>
          <w:sz w:val="36"/>
          <w:szCs w:val="32"/>
          <w:u w:val="single"/>
        </w:rPr>
        <w:t xml:space="preserve"> </w:t>
      </w:r>
      <w:r>
        <w:rPr>
          <w:rFonts w:hint="eastAsia"/>
          <w:b/>
          <w:color w:val="auto"/>
          <w:sz w:val="28"/>
          <w:u w:val="single"/>
        </w:rPr>
        <w:t xml:space="preserve">                      </w:t>
      </w:r>
    </w:p>
    <w:p>
      <w:pPr>
        <w:spacing w:line="1000" w:lineRule="exact"/>
        <w:ind w:firstLine="703" w:firstLineChars="250"/>
        <w:rPr>
          <w:rFonts w:ascii="宋体" w:hAnsi="宋体"/>
          <w:b/>
          <w:color w:val="auto"/>
          <w:sz w:val="28"/>
        </w:rPr>
      </w:pPr>
    </w:p>
    <w:p>
      <w:pPr>
        <w:tabs>
          <w:tab w:val="left" w:pos="7035"/>
          <w:tab w:val="left" w:pos="7245"/>
          <w:tab w:val="left" w:pos="7455"/>
        </w:tabs>
        <w:spacing w:line="1000" w:lineRule="exact"/>
        <w:ind w:firstLine="703" w:firstLineChars="250"/>
        <w:rPr>
          <w:b/>
          <w:color w:val="auto"/>
          <w:sz w:val="28"/>
          <w:u w:val="single"/>
        </w:rPr>
      </w:pPr>
      <w:r>
        <w:rPr>
          <w:rFonts w:hint="eastAsia"/>
          <w:b/>
          <w:color w:val="auto"/>
          <w:sz w:val="28"/>
        </w:rPr>
        <w:t>发包方（甲方）：</w:t>
      </w:r>
      <w:r>
        <w:rPr>
          <w:rFonts w:hint="eastAsia"/>
          <w:b/>
          <w:color w:val="auto"/>
          <w:sz w:val="28"/>
          <w:u w:val="thick"/>
        </w:rPr>
        <w:t xml:space="preserve">  </w:t>
      </w:r>
      <w:r>
        <w:rPr>
          <w:rFonts w:hint="eastAsia"/>
          <w:b/>
          <w:color w:val="auto"/>
          <w:sz w:val="24"/>
          <w:u w:val="thick"/>
        </w:rPr>
        <w:t>东莞市莞城建筑工程有限公司</w:t>
      </w:r>
      <w:r>
        <w:rPr>
          <w:rFonts w:hint="eastAsia"/>
          <w:b/>
          <w:color w:val="auto"/>
          <w:sz w:val="28"/>
          <w:u w:val="thick"/>
        </w:rPr>
        <w:t xml:space="preserve">    </w:t>
      </w:r>
    </w:p>
    <w:p>
      <w:pPr>
        <w:tabs>
          <w:tab w:val="left" w:pos="7140"/>
          <w:tab w:val="left" w:pos="7350"/>
        </w:tabs>
        <w:spacing w:line="1000" w:lineRule="exact"/>
        <w:ind w:firstLine="703" w:firstLineChars="250"/>
        <w:rPr>
          <w:b/>
          <w:color w:val="auto"/>
          <w:sz w:val="28"/>
          <w:u w:val="single"/>
        </w:rPr>
      </w:pPr>
      <w:r>
        <w:rPr>
          <w:rFonts w:hint="eastAsia"/>
          <w:b/>
          <w:color w:val="auto"/>
          <w:sz w:val="28"/>
        </w:rPr>
        <w:t>承包方（乙方）：</w:t>
      </w:r>
      <w:r>
        <w:rPr>
          <w:rFonts w:hint="eastAsia"/>
          <w:color w:val="auto"/>
          <w:sz w:val="28"/>
          <w:u w:val="single"/>
        </w:rPr>
        <w:t xml:space="preserve">  </w:t>
      </w:r>
      <w:r>
        <w:rPr>
          <w:rFonts w:hint="eastAsia"/>
          <w:b/>
          <w:color w:val="auto"/>
          <w:sz w:val="24"/>
          <w:u w:val="single"/>
        </w:rPr>
        <w:t xml:space="preserve">                      </w:t>
      </w:r>
      <w:r>
        <w:rPr>
          <w:rFonts w:hint="eastAsia"/>
          <w:color w:val="auto"/>
          <w:sz w:val="28"/>
          <w:u w:val="single"/>
        </w:rPr>
        <w:t xml:space="preserve">        </w:t>
      </w:r>
    </w:p>
    <w:p>
      <w:pPr>
        <w:spacing w:line="1000" w:lineRule="exact"/>
        <w:ind w:firstLine="703" w:firstLineChars="250"/>
        <w:rPr>
          <w:b/>
          <w:color w:val="auto"/>
          <w:sz w:val="28"/>
        </w:rPr>
      </w:pPr>
    </w:p>
    <w:p>
      <w:pPr>
        <w:tabs>
          <w:tab w:val="left" w:pos="630"/>
        </w:tabs>
        <w:spacing w:line="1000" w:lineRule="exact"/>
        <w:ind w:firstLine="703" w:firstLineChars="250"/>
        <w:rPr>
          <w:b/>
          <w:color w:val="auto"/>
          <w:sz w:val="28"/>
        </w:rPr>
      </w:pPr>
      <w:r>
        <w:rPr>
          <w:rFonts w:hint="eastAsia"/>
          <w:b/>
          <w:color w:val="auto"/>
          <w:sz w:val="28"/>
        </w:rPr>
        <w:t>签约地点：</w:t>
      </w:r>
      <w:r>
        <w:rPr>
          <w:rFonts w:hint="eastAsia"/>
          <w:color w:val="auto"/>
          <w:sz w:val="28"/>
          <w:u w:val="single"/>
        </w:rPr>
        <w:t xml:space="preserve">             </w:t>
      </w:r>
      <w:r>
        <w:rPr>
          <w:rFonts w:hint="eastAsia"/>
          <w:b/>
          <w:color w:val="auto"/>
          <w:sz w:val="28"/>
          <w:u w:val="single"/>
        </w:rPr>
        <w:t>东莞市南城区</w:t>
      </w:r>
      <w:r>
        <w:rPr>
          <w:rFonts w:hint="eastAsia"/>
          <w:color w:val="auto"/>
          <w:sz w:val="28"/>
          <w:u w:val="single"/>
        </w:rPr>
        <w:t xml:space="preserve"> </w:t>
      </w:r>
      <w:r>
        <w:rPr>
          <w:rFonts w:hint="eastAsia"/>
          <w:b/>
          <w:color w:val="auto"/>
          <w:sz w:val="28"/>
          <w:u w:val="single"/>
        </w:rPr>
        <w:t xml:space="preserve">            </w:t>
      </w:r>
    </w:p>
    <w:p>
      <w:pPr>
        <w:tabs>
          <w:tab w:val="left" w:pos="630"/>
        </w:tabs>
        <w:spacing w:line="1000" w:lineRule="exact"/>
        <w:ind w:firstLine="703" w:firstLineChars="250"/>
        <w:rPr>
          <w:b/>
          <w:color w:val="auto"/>
          <w:sz w:val="28"/>
        </w:rPr>
      </w:pPr>
      <w:r>
        <w:rPr>
          <w:rFonts w:hint="eastAsia" w:ascii="宋体" w:hAnsi="宋体"/>
          <w:b/>
          <w:color w:val="auto"/>
          <w:sz w:val="28"/>
        </w:rPr>
        <w:t>签订日期：</w:t>
      </w:r>
      <w:r>
        <w:rPr>
          <w:rFonts w:hint="eastAsia" w:ascii="宋体" w:hAnsi="宋体"/>
          <w:b/>
          <w:color w:val="auto"/>
          <w:sz w:val="28"/>
          <w:u w:val="single"/>
        </w:rPr>
        <w:t xml:space="preserve">     年     月     日</w:t>
      </w:r>
    </w:p>
    <w:p>
      <w:pPr>
        <w:spacing w:line="1000" w:lineRule="exact"/>
        <w:rPr>
          <w:color w:val="auto"/>
          <w:sz w:val="28"/>
        </w:rPr>
      </w:pPr>
    </w:p>
    <w:p>
      <w:pPr>
        <w:spacing w:line="600" w:lineRule="exact"/>
        <w:rPr>
          <w:b/>
          <w:color w:val="auto"/>
          <w:sz w:val="28"/>
        </w:rPr>
      </w:pPr>
    </w:p>
    <w:p>
      <w:pPr>
        <w:spacing w:line="600" w:lineRule="exact"/>
        <w:rPr>
          <w:b/>
          <w:color w:val="auto"/>
          <w:sz w:val="28"/>
        </w:rPr>
      </w:pPr>
    </w:p>
    <w:p>
      <w:pPr>
        <w:spacing w:line="600" w:lineRule="exact"/>
        <w:rPr>
          <w:rFonts w:hint="eastAsia"/>
          <w:b/>
          <w:color w:val="auto"/>
          <w:sz w:val="28"/>
          <w:u w:val="single"/>
        </w:rPr>
      </w:pPr>
      <w:r>
        <w:rPr>
          <w:rFonts w:hint="eastAsia"/>
          <w:b/>
          <w:color w:val="auto"/>
          <w:sz w:val="28"/>
        </w:rPr>
        <w:t>发包方（甲方）：</w:t>
      </w:r>
      <w:r>
        <w:rPr>
          <w:rFonts w:hint="eastAsia"/>
          <w:b/>
          <w:color w:val="auto"/>
          <w:sz w:val="24"/>
          <w:u w:val="single"/>
        </w:rPr>
        <w:t>东莞市莞城建筑工程有限公司</w:t>
      </w:r>
      <w:r>
        <w:rPr>
          <w:rFonts w:hint="eastAsia"/>
          <w:b/>
          <w:color w:val="auto"/>
          <w:sz w:val="28"/>
          <w:u w:val="single"/>
        </w:rPr>
        <w:t xml:space="preserve">     </w:t>
      </w:r>
    </w:p>
    <w:p>
      <w:pPr>
        <w:spacing w:line="600" w:lineRule="exact"/>
        <w:rPr>
          <w:color w:val="auto"/>
          <w:sz w:val="24"/>
          <w:szCs w:val="20"/>
        </w:rPr>
      </w:pPr>
      <w:r>
        <w:rPr>
          <w:rFonts w:hint="eastAsia"/>
          <w:b/>
          <w:color w:val="auto"/>
          <w:sz w:val="28"/>
        </w:rPr>
        <w:t>承包方（乙方）：</w:t>
      </w:r>
      <w:r>
        <w:rPr>
          <w:rFonts w:hint="eastAsia"/>
          <w:color w:val="auto"/>
          <w:sz w:val="24"/>
          <w:u w:val="single"/>
        </w:rPr>
        <w:t xml:space="preserve">                                </w:t>
      </w:r>
    </w:p>
    <w:p>
      <w:pPr>
        <w:spacing w:line="440" w:lineRule="exact"/>
        <w:ind w:firstLine="570"/>
        <w:rPr>
          <w:color w:val="auto"/>
          <w:sz w:val="24"/>
          <w:szCs w:val="20"/>
        </w:rPr>
      </w:pPr>
    </w:p>
    <w:p>
      <w:pPr>
        <w:spacing w:line="480" w:lineRule="exact"/>
        <w:ind w:firstLine="570"/>
        <w:rPr>
          <w:color w:val="auto"/>
          <w:sz w:val="24"/>
          <w:szCs w:val="20"/>
        </w:rPr>
      </w:pPr>
    </w:p>
    <w:p>
      <w:pPr>
        <w:spacing w:line="480" w:lineRule="exact"/>
        <w:ind w:firstLine="420" w:firstLineChars="200"/>
        <w:rPr>
          <w:rFonts w:ascii="宋体" w:hAnsi="宋体"/>
          <w:color w:val="auto"/>
          <w:szCs w:val="21"/>
        </w:rPr>
      </w:pPr>
      <w:r>
        <w:rPr>
          <w:rFonts w:hint="eastAsia" w:ascii="宋体" w:hAnsi="宋体"/>
          <w:color w:val="auto"/>
          <w:szCs w:val="21"/>
        </w:rPr>
        <w:t>根据《中华人民共和国民法典》及国家有关法律、法规的规定，甲、乙双方在平等、自愿、等价有偿、公平、诚实信用的基础上，经友好协商，就甲方委托乙方进行</w:t>
      </w:r>
      <w:r>
        <w:rPr>
          <w:rFonts w:hint="eastAsia"/>
          <w:bCs/>
          <w:color w:val="auto"/>
          <w:szCs w:val="21"/>
          <w:u w:val="single"/>
        </w:rPr>
        <w:t xml:space="preserve">  （***项目名称）   </w:t>
      </w:r>
      <w:r>
        <w:rPr>
          <w:rFonts w:hint="eastAsia" w:ascii="宋体" w:hAnsi="宋体"/>
          <w:color w:val="auto"/>
          <w:szCs w:val="21"/>
        </w:rPr>
        <w:t>施工达成一致意见，特签订本合同，以资信守。</w:t>
      </w:r>
    </w:p>
    <w:p>
      <w:pPr>
        <w:spacing w:line="480" w:lineRule="exact"/>
        <w:rPr>
          <w:rFonts w:ascii="宋体" w:hAnsi="宋体"/>
          <w:b/>
          <w:color w:val="auto"/>
          <w:szCs w:val="21"/>
        </w:rPr>
      </w:pPr>
    </w:p>
    <w:p>
      <w:pPr>
        <w:spacing w:line="480" w:lineRule="exact"/>
        <w:outlineLvl w:val="0"/>
        <w:rPr>
          <w:rFonts w:ascii="宋体" w:hAnsi="宋体"/>
          <w:color w:val="auto"/>
          <w:szCs w:val="21"/>
        </w:rPr>
      </w:pPr>
      <w:r>
        <w:rPr>
          <w:rFonts w:hint="eastAsia" w:ascii="宋体" w:hAnsi="宋体"/>
          <w:b/>
          <w:color w:val="auto"/>
          <w:szCs w:val="21"/>
        </w:rPr>
        <w:t>第一条</w:t>
      </w:r>
      <w:r>
        <w:rPr>
          <w:rFonts w:hint="eastAsia" w:ascii="宋体" w:hAnsi="宋体"/>
          <w:color w:val="auto"/>
          <w:szCs w:val="21"/>
        </w:rPr>
        <w:t xml:space="preserve">  </w:t>
      </w:r>
      <w:r>
        <w:rPr>
          <w:rFonts w:hint="eastAsia" w:ascii="宋体" w:hAnsi="宋体"/>
          <w:b/>
          <w:color w:val="auto"/>
          <w:szCs w:val="21"/>
        </w:rPr>
        <w:t>工程概况</w:t>
      </w:r>
    </w:p>
    <w:p>
      <w:pPr>
        <w:spacing w:line="480" w:lineRule="exact"/>
        <w:ind w:firstLine="420" w:firstLineChars="200"/>
        <w:rPr>
          <w:rFonts w:ascii="宋体" w:hAnsi="宋体"/>
          <w:color w:val="auto"/>
          <w:szCs w:val="21"/>
        </w:rPr>
      </w:pPr>
      <w:r>
        <w:rPr>
          <w:rFonts w:hint="eastAsia" w:ascii="宋体" w:hAnsi="宋体"/>
          <w:color w:val="auto"/>
          <w:szCs w:val="21"/>
        </w:rPr>
        <w:t>1、工程名称：</w:t>
      </w:r>
      <w:r>
        <w:rPr>
          <w:rFonts w:hint="eastAsia"/>
          <w:bCs/>
          <w:color w:val="auto"/>
          <w:szCs w:val="21"/>
          <w:u w:val="single"/>
        </w:rPr>
        <w:t xml:space="preserve">                             </w:t>
      </w:r>
    </w:p>
    <w:p>
      <w:pPr>
        <w:spacing w:line="480" w:lineRule="exact"/>
        <w:ind w:firstLine="420" w:firstLineChars="200"/>
        <w:rPr>
          <w:rFonts w:ascii="宋体" w:hAnsi="宋体"/>
          <w:color w:val="auto"/>
          <w:szCs w:val="21"/>
          <w:u w:val="single"/>
        </w:rPr>
      </w:pPr>
      <w:r>
        <w:rPr>
          <w:rFonts w:hint="eastAsia" w:ascii="宋体" w:hAnsi="宋体"/>
          <w:color w:val="auto"/>
          <w:szCs w:val="21"/>
        </w:rPr>
        <w:t>2、工程地点：</w:t>
      </w:r>
      <w:r>
        <w:rPr>
          <w:rFonts w:hint="eastAsia" w:ascii="宋体" w:hAnsi="宋体"/>
          <w:color w:val="auto"/>
          <w:szCs w:val="21"/>
          <w:u w:val="single"/>
        </w:rPr>
        <w:t xml:space="preserve"> </w:t>
      </w:r>
      <w:r>
        <w:rPr>
          <w:rFonts w:hint="eastAsia" w:ascii="宋体" w:hAnsi="宋体"/>
          <w:color w:val="auto"/>
          <w:kern w:val="0"/>
          <w:sz w:val="22"/>
          <w:szCs w:val="28"/>
          <w:u w:val="single"/>
        </w:rPr>
        <w:t xml:space="preserve">                    </w:t>
      </w:r>
      <w:r>
        <w:rPr>
          <w:rFonts w:hint="eastAsia" w:ascii="宋体" w:hAnsi="宋体"/>
          <w:color w:val="auto"/>
          <w:szCs w:val="21"/>
          <w:u w:val="single"/>
        </w:rPr>
        <w:t xml:space="preserve">       </w:t>
      </w:r>
    </w:p>
    <w:p>
      <w:pPr>
        <w:spacing w:line="360" w:lineRule="auto"/>
        <w:ind w:firstLine="420" w:firstLineChars="200"/>
        <w:rPr>
          <w:rFonts w:ascii="宋体" w:hAnsi="宋体"/>
          <w:color w:val="auto"/>
          <w:szCs w:val="21"/>
          <w:u w:val="single"/>
        </w:rPr>
      </w:pPr>
      <w:r>
        <w:rPr>
          <w:rFonts w:hint="eastAsia" w:ascii="宋体" w:hAnsi="宋体"/>
          <w:color w:val="auto"/>
          <w:szCs w:val="21"/>
        </w:rPr>
        <w:t>3、建设规模：</w:t>
      </w:r>
      <w:r>
        <w:rPr>
          <w:rFonts w:hint="eastAsia"/>
          <w:color w:val="auto"/>
          <w:szCs w:val="21"/>
          <w:u w:val="single"/>
        </w:rPr>
        <w:t xml:space="preserve">                             </w:t>
      </w:r>
    </w:p>
    <w:p>
      <w:pPr>
        <w:spacing w:line="360" w:lineRule="auto"/>
        <w:ind w:left="-945" w:leftChars="-450" w:firstLine="949" w:firstLineChars="450"/>
        <w:rPr>
          <w:rFonts w:hint="eastAsia" w:ascii="宋体" w:hAnsi="宋体"/>
          <w:b/>
          <w:color w:val="auto"/>
          <w:szCs w:val="21"/>
        </w:rPr>
      </w:pPr>
      <w:r>
        <w:rPr>
          <w:rFonts w:hint="eastAsia" w:ascii="宋体" w:hAnsi="宋体"/>
          <w:b/>
          <w:color w:val="auto"/>
          <w:szCs w:val="21"/>
        </w:rPr>
        <w:t>第二条  承包范围和内容</w:t>
      </w:r>
    </w:p>
    <w:p>
      <w:pPr>
        <w:spacing w:line="480" w:lineRule="exact"/>
        <w:ind w:firstLine="420" w:firstLineChars="200"/>
        <w:rPr>
          <w:rFonts w:hint="eastAsia" w:ascii="宋体" w:hAnsi="宋体"/>
          <w:color w:val="auto"/>
          <w:szCs w:val="21"/>
        </w:rPr>
      </w:pPr>
      <w:r>
        <w:rPr>
          <w:rFonts w:hint="eastAsia" w:ascii="宋体" w:hAnsi="宋体"/>
          <w:color w:val="auto"/>
          <w:szCs w:val="21"/>
        </w:rPr>
        <w:t>1、</w:t>
      </w:r>
      <w:r>
        <w:rPr>
          <w:rFonts w:hint="eastAsia" w:ascii="宋体" w:hAnsi="宋体"/>
          <w:color w:val="auto"/>
          <w:szCs w:val="21"/>
        </w:rPr>
        <w:t>包括范围内的临建工程，主要包含施工围挡、地面硬化、板房搭拆、消火栓、配电箱、电缆、电线、照明灯具、开关、给排水、化粪池、隔油池等（以上采购范围未尽事宜，详见工程量清单）。</w:t>
      </w:r>
    </w:p>
    <w:p>
      <w:pPr>
        <w:spacing w:line="480" w:lineRule="exact"/>
        <w:ind w:firstLine="420" w:firstLineChars="200"/>
        <w:rPr>
          <w:rFonts w:hint="eastAsia" w:ascii="宋体" w:hAnsi="宋体"/>
          <w:color w:val="auto"/>
          <w:szCs w:val="21"/>
        </w:rPr>
      </w:pPr>
      <w:r>
        <w:rPr>
          <w:rFonts w:hint="eastAsia" w:ascii="宋体" w:hAnsi="宋体"/>
          <w:color w:val="auto"/>
          <w:szCs w:val="21"/>
        </w:rPr>
        <w:t>2、</w:t>
      </w:r>
      <w:r>
        <w:rPr>
          <w:rFonts w:hint="eastAsia" w:ascii="宋体" w:hAnsi="宋体"/>
          <w:color w:val="auto"/>
          <w:szCs w:val="21"/>
        </w:rPr>
        <w:t>包工、包材料、包机械设备及操作用工（承包人提供的设备除外）、包施工用水电设备及相关费用、包保险费用、包税金、包工期、包质量、包安全生产、包现场文明施工、包验收、包结算、包风险、包与其他分包单位的配合等。</w:t>
      </w:r>
    </w:p>
    <w:p>
      <w:pPr>
        <w:spacing w:line="480" w:lineRule="exact"/>
        <w:ind w:firstLine="420" w:firstLineChars="200"/>
        <w:rPr>
          <w:rFonts w:ascii="宋体" w:hAnsi="宋体"/>
          <w:color w:val="auto"/>
          <w:szCs w:val="21"/>
        </w:rPr>
      </w:pPr>
      <w:r>
        <w:rPr>
          <w:rFonts w:hint="eastAsia" w:ascii="宋体" w:hAnsi="宋体"/>
          <w:color w:val="auto"/>
          <w:szCs w:val="21"/>
        </w:rPr>
        <w:t>3、因设计变更而增加或减少的工作视作乙方的承包范围，乙方不得拒绝施工，且必须在甲方规定的时间内完成。</w:t>
      </w:r>
    </w:p>
    <w:p>
      <w:pPr>
        <w:spacing w:line="480" w:lineRule="exact"/>
        <w:ind w:firstLine="210" w:firstLineChars="100"/>
        <w:rPr>
          <w:rFonts w:ascii="宋体" w:hAnsi="宋体"/>
          <w:color w:val="auto"/>
          <w:szCs w:val="21"/>
        </w:rPr>
      </w:pPr>
      <w:r>
        <w:rPr>
          <w:rFonts w:hint="eastAsia" w:ascii="宋体" w:hAnsi="宋体"/>
          <w:color w:val="auto"/>
          <w:szCs w:val="21"/>
        </w:rPr>
        <w:t xml:space="preserve">  4、承包范围详见施工图纸、工程预算书、工程材料一览表及其它设计变更文件内容。</w:t>
      </w:r>
    </w:p>
    <w:p>
      <w:pPr>
        <w:spacing w:line="480" w:lineRule="exact"/>
        <w:ind w:firstLine="420" w:firstLineChars="200"/>
        <w:rPr>
          <w:rFonts w:hint="eastAsia" w:ascii="宋体" w:hAnsi="宋体"/>
          <w:color w:val="auto"/>
          <w:szCs w:val="21"/>
        </w:rPr>
      </w:pPr>
      <w:r>
        <w:rPr>
          <w:rFonts w:hint="eastAsia" w:ascii="宋体" w:hAnsi="宋体"/>
          <w:color w:val="auto"/>
          <w:szCs w:val="21"/>
        </w:rPr>
        <w:t>5、合同范围内的施工内容及施工过程中所发生超出合同范围的增减工程内容（以建设单位确认的工程变更</w:t>
      </w:r>
      <w:r>
        <w:rPr>
          <w:rFonts w:hint="eastAsia" w:ascii="宋体" w:hAnsi="宋体"/>
          <w:color w:val="auto"/>
          <w:szCs w:val="21"/>
        </w:rPr>
        <w:t>单和工作联系单为</w:t>
      </w:r>
      <w:r>
        <w:rPr>
          <w:rFonts w:hint="eastAsia" w:ascii="宋体" w:hAnsi="宋体"/>
          <w:color w:val="auto"/>
          <w:szCs w:val="21"/>
        </w:rPr>
        <w:t>准），乙方不得以任何借口拒绝施工，否则甲方有权委托第三方施工，施工的所有费用全部由乙方承担（从乙方的工程款中直接扣除</w:t>
      </w:r>
      <w:r>
        <w:rPr>
          <w:rFonts w:ascii="宋体" w:hAnsi="宋体"/>
          <w:color w:val="auto"/>
          <w:szCs w:val="21"/>
        </w:rPr>
        <w:t>）</w:t>
      </w:r>
      <w:r>
        <w:rPr>
          <w:rFonts w:hint="eastAsia" w:ascii="宋体" w:hAnsi="宋体"/>
          <w:color w:val="auto"/>
          <w:szCs w:val="21"/>
        </w:rPr>
        <w:t>，并且已完成的合格的工程量按50%结算。</w:t>
      </w:r>
    </w:p>
    <w:p>
      <w:pPr>
        <w:spacing w:line="480" w:lineRule="exact"/>
        <w:ind w:firstLine="525" w:firstLineChars="250"/>
        <w:rPr>
          <w:rFonts w:hint="eastAsia" w:ascii="宋体" w:hAnsi="宋体"/>
          <w:color w:val="auto"/>
          <w:szCs w:val="21"/>
        </w:rPr>
      </w:pPr>
      <w:r>
        <w:rPr>
          <w:rFonts w:hint="eastAsia" w:ascii="宋体" w:hAnsi="宋体"/>
          <w:color w:val="auto"/>
          <w:szCs w:val="21"/>
        </w:rPr>
        <w:t>施工过程中所发生超出合同范围的增减工程内容，乙方需优先配合完成，由此产生的费用由甲乙双方另行协商。</w:t>
      </w:r>
    </w:p>
    <w:p>
      <w:pPr>
        <w:numPr>
          <w:ilvl w:val="0"/>
          <w:numId w:val="2"/>
        </w:numPr>
        <w:tabs>
          <w:tab w:val="left" w:pos="284"/>
        </w:tabs>
        <w:spacing w:line="480" w:lineRule="exact"/>
        <w:rPr>
          <w:b/>
          <w:color w:val="auto"/>
          <w:kern w:val="0"/>
          <w:szCs w:val="21"/>
        </w:rPr>
      </w:pPr>
      <w:r>
        <w:rPr>
          <w:rFonts w:hint="eastAsia"/>
          <w:b/>
          <w:color w:val="auto"/>
          <w:kern w:val="0"/>
          <w:szCs w:val="21"/>
        </w:rPr>
        <w:t>质量标准</w:t>
      </w:r>
    </w:p>
    <w:p>
      <w:pPr>
        <w:spacing w:line="520" w:lineRule="exact"/>
        <w:ind w:left="16" w:firstLine="525" w:firstLineChars="250"/>
        <w:rPr>
          <w:rFonts w:hint="eastAsia" w:ascii="宋体" w:hAnsi="宋体"/>
          <w:bCs/>
          <w:color w:val="auto"/>
          <w:szCs w:val="21"/>
        </w:rPr>
      </w:pPr>
      <w:r>
        <w:rPr>
          <w:rFonts w:hint="eastAsia" w:ascii="宋体" w:hAnsi="宋体"/>
          <w:bCs/>
          <w:color w:val="auto"/>
          <w:szCs w:val="21"/>
        </w:rPr>
        <w:t>乙方应严格按照招标文件、施工图纸、说明文件和国家、行业和广东省的</w:t>
      </w:r>
      <w:r>
        <w:rPr>
          <w:rFonts w:hint="eastAsia" w:ascii="宋体" w:hAnsi="宋体"/>
          <w:bCs/>
          <w:color w:val="auto"/>
          <w:sz w:val="22"/>
          <w:szCs w:val="21"/>
          <w:u w:val="single"/>
        </w:rPr>
        <w:t>《建筑工程施工质量验收统一标准》GB 50300-2013</w:t>
      </w:r>
      <w:r>
        <w:rPr>
          <w:rFonts w:hint="eastAsia" w:ascii="宋体" w:hAnsi="宋体"/>
          <w:bCs/>
          <w:color w:val="auto"/>
          <w:szCs w:val="21"/>
        </w:rPr>
        <w:t>工程规范、规程和标准进行施工，并接受甲方现场代表及监理公司的监督。工程质量标准为：</w:t>
      </w:r>
      <w:r>
        <w:rPr>
          <w:rFonts w:hint="eastAsia" w:ascii="宋体" w:hAnsi="宋体"/>
          <w:color w:val="auto"/>
          <w:szCs w:val="21"/>
        </w:rPr>
        <w:t>中华人民共和国现行国家标准、国家工程质量验收标准：</w:t>
      </w:r>
      <w:r>
        <w:rPr>
          <w:rFonts w:hint="eastAsia" w:ascii="宋体" w:hAnsi="宋体"/>
          <w:color w:val="auto"/>
          <w:szCs w:val="21"/>
          <w:u w:val="single"/>
        </w:rPr>
        <w:t>达到“合格”或以上</w:t>
      </w:r>
      <w:r>
        <w:rPr>
          <w:rFonts w:hint="eastAsia" w:ascii="宋体" w:hAnsi="宋体"/>
          <w:color w:val="auto"/>
          <w:szCs w:val="21"/>
        </w:rPr>
        <w:t>，且需满足甲方设计图纸需要和技术要求</w:t>
      </w:r>
      <w:r>
        <w:rPr>
          <w:rFonts w:hint="eastAsia" w:ascii="宋体" w:hAnsi="宋体"/>
          <w:bCs/>
          <w:color w:val="auto"/>
          <w:szCs w:val="21"/>
        </w:rPr>
        <w:t>。</w:t>
      </w:r>
    </w:p>
    <w:p>
      <w:pPr>
        <w:spacing w:line="480" w:lineRule="exact"/>
        <w:ind w:firstLine="525" w:firstLineChars="250"/>
        <w:rPr>
          <w:rFonts w:ascii="宋体" w:hAnsi="宋体"/>
          <w:bCs/>
          <w:color w:val="auto"/>
          <w:szCs w:val="21"/>
        </w:rPr>
      </w:pPr>
      <w:r>
        <w:rPr>
          <w:rFonts w:ascii="宋体" w:hAnsi="宋体"/>
          <w:bCs/>
          <w:color w:val="auto"/>
          <w:szCs w:val="21"/>
        </w:rPr>
        <w:t>工程质量验评定达不到约定的质量标准，由乙方付给甲方金额为合同总价</w:t>
      </w:r>
      <w:r>
        <w:rPr>
          <w:rFonts w:hint="eastAsia" w:ascii="宋体" w:hAnsi="宋体"/>
          <w:bCs/>
          <w:color w:val="auto"/>
          <w:szCs w:val="21"/>
          <w:u w:val="single"/>
        </w:rPr>
        <w:t>10</w:t>
      </w:r>
      <w:r>
        <w:rPr>
          <w:rFonts w:ascii="宋体" w:hAnsi="宋体"/>
          <w:bCs/>
          <w:color w:val="auto"/>
          <w:szCs w:val="21"/>
          <w:u w:val="single"/>
        </w:rPr>
        <w:t>%</w:t>
      </w:r>
      <w:r>
        <w:rPr>
          <w:rFonts w:hint="eastAsia" w:ascii="宋体" w:hAnsi="宋体"/>
          <w:bCs/>
          <w:color w:val="auto"/>
          <w:szCs w:val="21"/>
          <w:u w:val="single"/>
        </w:rPr>
        <w:t xml:space="preserve"> </w:t>
      </w:r>
      <w:r>
        <w:rPr>
          <w:rFonts w:ascii="宋体" w:hAnsi="宋体"/>
          <w:bCs/>
          <w:color w:val="auto"/>
          <w:szCs w:val="21"/>
        </w:rPr>
        <w:t>的违约金。合同工程中的任一分部或分项工程，乙方自检合格后，经验收出现不合格视为乙方违约，乙方应向甲方支付需主项整改处理的合同额</w:t>
      </w:r>
      <w:r>
        <w:rPr>
          <w:rFonts w:hint="eastAsia" w:ascii="宋体" w:hAnsi="宋体"/>
          <w:bCs/>
          <w:color w:val="auto"/>
          <w:szCs w:val="21"/>
        </w:rPr>
        <w:t>1</w:t>
      </w:r>
      <w:r>
        <w:rPr>
          <w:rFonts w:ascii="宋体" w:hAnsi="宋体"/>
          <w:bCs/>
          <w:color w:val="auto"/>
          <w:szCs w:val="21"/>
        </w:rPr>
        <w:t xml:space="preserve"> %的违约金，</w:t>
      </w:r>
      <w:r>
        <w:rPr>
          <w:rFonts w:hint="eastAsia" w:ascii="宋体" w:hAnsi="宋体"/>
          <w:bCs/>
          <w:color w:val="auto"/>
          <w:szCs w:val="21"/>
        </w:rPr>
        <w:t>乙方</w:t>
      </w:r>
      <w:r>
        <w:rPr>
          <w:rFonts w:ascii="宋体" w:hAnsi="宋体"/>
          <w:bCs/>
          <w:color w:val="auto"/>
          <w:szCs w:val="21"/>
        </w:rPr>
        <w:t>应</w:t>
      </w:r>
      <w:r>
        <w:rPr>
          <w:rFonts w:hint="eastAsia" w:ascii="宋体" w:hAnsi="宋体"/>
          <w:bCs/>
          <w:color w:val="auto"/>
          <w:szCs w:val="21"/>
        </w:rPr>
        <w:t>采取相应</w:t>
      </w:r>
      <w:r>
        <w:rPr>
          <w:rFonts w:ascii="宋体" w:hAnsi="宋体"/>
          <w:bCs/>
          <w:color w:val="auto"/>
          <w:szCs w:val="21"/>
        </w:rPr>
        <w:t>措施在7日内整改至监理工程师验收合格。</w:t>
      </w:r>
    </w:p>
    <w:p>
      <w:pPr>
        <w:numPr>
          <w:ilvl w:val="0"/>
          <w:numId w:val="2"/>
        </w:numPr>
        <w:spacing w:line="480" w:lineRule="exact"/>
        <w:rPr>
          <w:rFonts w:ascii="宋体" w:hAnsi="宋体"/>
          <w:b/>
          <w:color w:val="auto"/>
          <w:szCs w:val="21"/>
        </w:rPr>
      </w:pPr>
      <w:r>
        <w:rPr>
          <w:rFonts w:hint="eastAsia" w:ascii="宋体" w:hAnsi="宋体"/>
          <w:b/>
          <w:color w:val="auto"/>
          <w:szCs w:val="21"/>
        </w:rPr>
        <w:t>合同价款</w:t>
      </w:r>
    </w:p>
    <w:p>
      <w:pPr>
        <w:spacing w:line="480" w:lineRule="exact"/>
        <w:ind w:firstLine="420"/>
        <w:rPr>
          <w:rFonts w:ascii="宋体" w:hAnsi="宋体"/>
          <w:color w:val="auto"/>
          <w:szCs w:val="21"/>
        </w:rPr>
      </w:pPr>
      <w:r>
        <w:rPr>
          <w:rFonts w:hint="eastAsia" w:ascii="宋体" w:hAnsi="宋体"/>
          <w:color w:val="auto"/>
          <w:szCs w:val="21"/>
        </w:rPr>
        <w:t>1、</w:t>
      </w:r>
      <w:r>
        <w:rPr>
          <w:rFonts w:hint="eastAsia" w:ascii="宋体" w:hAnsi="宋体"/>
          <w:color w:val="auto"/>
          <w:kern w:val="0"/>
          <w:szCs w:val="21"/>
        </w:rPr>
        <w:t>暂定含税合同总价（</w:t>
      </w:r>
      <w:r>
        <w:rPr>
          <w:rFonts w:hint="eastAsia" w:ascii="宋体" w:hAnsi="宋体"/>
          <w:color w:val="auto"/>
          <w:szCs w:val="21"/>
          <w:u w:val="single"/>
        </w:rPr>
        <w:t>大写）：</w:t>
      </w:r>
      <w:r>
        <w:rPr>
          <w:rFonts w:hint="eastAsia" w:ascii="宋体" w:hAnsi="宋体"/>
          <w:color w:val="auto"/>
          <w:szCs w:val="21"/>
          <w:u w:val="single"/>
        </w:rPr>
        <w:t>人民币 仟 佰 拾 万 仟 佰 拾 元 角 分</w:t>
      </w:r>
      <w:r>
        <w:rPr>
          <w:rFonts w:hint="eastAsia" w:ascii="宋体" w:hAnsi="宋体"/>
          <w:color w:val="auto"/>
          <w:szCs w:val="21"/>
        </w:rPr>
        <w:t>，（小写）：</w:t>
      </w:r>
      <w:r>
        <w:rPr>
          <w:rFonts w:ascii="宋体" w:hAnsi="宋体"/>
          <w:color w:val="auto"/>
          <w:szCs w:val="21"/>
          <w:u w:val="single"/>
        </w:rPr>
        <w:t>¥</w:t>
      </w:r>
      <w:r>
        <w:rPr>
          <w:rFonts w:hint="eastAsia" w:ascii="宋体" w:hAnsi="宋体"/>
          <w:color w:val="auto"/>
          <w:szCs w:val="21"/>
          <w:u w:val="single"/>
        </w:rPr>
        <w:t xml:space="preserve"> </w:t>
      </w:r>
      <w:r>
        <w:rPr>
          <w:rFonts w:ascii="宋体" w:hAnsi="宋体"/>
          <w:color w:val="auto"/>
          <w:szCs w:val="21"/>
          <w:u w:val="single"/>
        </w:rPr>
        <w:t xml:space="preserve">          </w:t>
      </w:r>
      <w:r>
        <w:rPr>
          <w:rFonts w:hint="eastAsia" w:ascii="宋体" w:hAnsi="宋体"/>
          <w:color w:val="auto"/>
          <w:kern w:val="0"/>
          <w:szCs w:val="21"/>
        </w:rPr>
        <w:t>元。</w:t>
      </w:r>
      <w:r>
        <w:rPr>
          <w:rFonts w:hint="eastAsia" w:ascii="宋体" w:hAnsi="宋体"/>
          <w:color w:val="auto"/>
          <w:szCs w:val="21"/>
        </w:rPr>
        <w:t>其中，不含税工程价款</w:t>
      </w:r>
      <w:r>
        <w:rPr>
          <w:rFonts w:hint="eastAsia" w:ascii="宋体" w:hAnsi="宋体"/>
          <w:color w:val="auto"/>
          <w:kern w:val="0"/>
          <w:szCs w:val="21"/>
        </w:rPr>
        <w:t>（</w:t>
      </w:r>
      <w:r>
        <w:rPr>
          <w:rFonts w:hint="eastAsia" w:ascii="宋体" w:hAnsi="宋体"/>
          <w:color w:val="auto"/>
          <w:szCs w:val="21"/>
          <w:u w:val="single"/>
        </w:rPr>
        <w:t>大写）：</w:t>
      </w:r>
      <w:r>
        <w:rPr>
          <w:rFonts w:hint="eastAsia" w:ascii="宋体" w:hAnsi="宋体"/>
          <w:color w:val="auto"/>
          <w:szCs w:val="21"/>
          <w:u w:val="single"/>
        </w:rPr>
        <w:t xml:space="preserve"> 人民币 仟 佰 拾 万 仟 佰 拾 元 角 分</w:t>
      </w:r>
      <w:r>
        <w:rPr>
          <w:rFonts w:hint="eastAsia" w:ascii="宋体" w:hAnsi="宋体"/>
          <w:color w:val="auto"/>
          <w:szCs w:val="21"/>
        </w:rPr>
        <w:t>，（小写）：</w:t>
      </w:r>
      <w:r>
        <w:rPr>
          <w:rFonts w:hint="eastAsia" w:ascii="宋体" w:hAnsi="宋体"/>
          <w:color w:val="auto"/>
          <w:szCs w:val="21"/>
          <w:u w:val="single"/>
        </w:rPr>
        <w:t>¥</w:t>
      </w:r>
      <w:r>
        <w:rPr>
          <w:rFonts w:ascii="宋体" w:hAnsi="宋体"/>
          <w:color w:val="auto"/>
          <w:szCs w:val="21"/>
          <w:u w:val="single"/>
        </w:rPr>
        <w:t xml:space="preserve">           </w:t>
      </w:r>
      <w:r>
        <w:rPr>
          <w:rFonts w:hint="eastAsia" w:ascii="宋体" w:hAnsi="宋体"/>
          <w:color w:val="auto"/>
          <w:szCs w:val="21"/>
        </w:rPr>
        <w:t>元；增值税税金</w:t>
      </w:r>
      <w:r>
        <w:rPr>
          <w:rFonts w:hint="eastAsia" w:ascii="宋体" w:hAnsi="宋体"/>
          <w:color w:val="auto"/>
          <w:kern w:val="0"/>
          <w:szCs w:val="21"/>
        </w:rPr>
        <w:t>（</w:t>
      </w:r>
      <w:r>
        <w:rPr>
          <w:rFonts w:hint="eastAsia" w:ascii="宋体" w:hAnsi="宋体"/>
          <w:color w:val="auto"/>
          <w:szCs w:val="21"/>
          <w:u w:val="single"/>
        </w:rPr>
        <w:t>大写）：</w:t>
      </w:r>
      <w:r>
        <w:rPr>
          <w:rFonts w:hint="eastAsia" w:ascii="宋体" w:hAnsi="宋体"/>
          <w:color w:val="auto"/>
          <w:szCs w:val="21"/>
          <w:u w:val="single"/>
        </w:rPr>
        <w:t>人民币 仟 佰 拾 万 仟 佰 拾 元 角 分</w:t>
      </w:r>
      <w:r>
        <w:rPr>
          <w:rFonts w:hint="eastAsia" w:ascii="宋体" w:hAnsi="宋体"/>
          <w:color w:val="auto"/>
          <w:szCs w:val="21"/>
        </w:rPr>
        <w:t>，（小写）：</w:t>
      </w:r>
      <w:r>
        <w:rPr>
          <w:rFonts w:hint="eastAsia" w:ascii="宋体" w:hAnsi="宋体"/>
          <w:color w:val="auto"/>
          <w:szCs w:val="21"/>
          <w:u w:val="single"/>
        </w:rPr>
        <w:t>¥</w:t>
      </w:r>
      <w:r>
        <w:rPr>
          <w:rFonts w:ascii="宋体" w:hAnsi="宋体"/>
          <w:color w:val="auto"/>
          <w:szCs w:val="21"/>
          <w:u w:val="single"/>
        </w:rPr>
        <w:t xml:space="preserve">            </w:t>
      </w:r>
      <w:r>
        <w:rPr>
          <w:rFonts w:hint="eastAsia" w:ascii="宋体" w:hAnsi="宋体"/>
          <w:color w:val="auto"/>
          <w:szCs w:val="21"/>
        </w:rPr>
        <w:t>元。</w:t>
      </w:r>
    </w:p>
    <w:p>
      <w:pPr>
        <w:tabs>
          <w:tab w:val="left" w:pos="7560"/>
        </w:tabs>
        <w:spacing w:line="360" w:lineRule="auto"/>
        <w:ind w:firstLine="422" w:firstLineChars="200"/>
        <w:rPr>
          <w:rFonts w:hint="eastAsia" w:ascii="宋体" w:hAnsi="宋体"/>
          <w:color w:val="auto"/>
          <w:szCs w:val="21"/>
        </w:rPr>
      </w:pPr>
      <w:r>
        <w:rPr>
          <w:rFonts w:hint="eastAsia" w:ascii="宋体" w:hAnsi="宋体"/>
          <w:b/>
          <w:color w:val="auto"/>
          <w:szCs w:val="21"/>
        </w:rPr>
        <w:t xml:space="preserve"> </w:t>
      </w:r>
      <w:r>
        <w:rPr>
          <w:rFonts w:hint="eastAsia" w:ascii="宋体" w:hAnsi="宋体"/>
          <w:color w:val="auto"/>
          <w:szCs w:val="21"/>
        </w:rPr>
        <w:t>2、本工程合同总价包含完成本工程所需的全部费用，包括且不限于所需的设计费（如有）、人工费、定额工日工资、材料费、施工机械使用费、施工升降机安全监控管理系统费、施工赶工措施费、安全文明施工费、场地清理费、总包配合费</w:t>
      </w:r>
      <w:r>
        <w:rPr>
          <w:rFonts w:hint="eastAsia" w:ascii="宋体" w:hAnsi="宋体"/>
          <w:color w:val="auto"/>
          <w:szCs w:val="21"/>
          <w:u w:val="single"/>
        </w:rPr>
        <w:t xml:space="preserve">   /   </w:t>
      </w:r>
      <w:r>
        <w:rPr>
          <w:rFonts w:hint="eastAsia" w:ascii="宋体" w:hAnsi="宋体"/>
          <w:color w:val="auto"/>
          <w:szCs w:val="21"/>
        </w:rPr>
        <w:t>元、管理费、利润、水电费（均摊形式）、工程竣工四方验收合格并移交甲方前的成品与半成品保护、工程竣工验收、所有措施费及规费、工程税金及风险、完成图纸所有工程内容的全部费用。同时在施工期间对价格波动、汇率变化等因素变动而不作调整。</w:t>
      </w:r>
    </w:p>
    <w:p>
      <w:pPr>
        <w:tabs>
          <w:tab w:val="left" w:pos="7560"/>
        </w:tabs>
        <w:spacing w:line="360" w:lineRule="auto"/>
        <w:ind w:firstLine="420" w:firstLineChars="200"/>
        <w:rPr>
          <w:rFonts w:hint="eastAsia" w:ascii="宋体" w:hAnsi="宋体" w:eastAsia="宋体" w:cs="Times New Roman"/>
          <w:color w:val="auto"/>
          <w:szCs w:val="21"/>
        </w:rPr>
      </w:pPr>
      <w:r>
        <w:rPr>
          <w:rFonts w:hint="eastAsia" w:ascii="宋体" w:hAnsi="宋体"/>
          <w:color w:val="auto"/>
          <w:szCs w:val="21"/>
        </w:rPr>
        <w:t>3、结算原则：</w:t>
      </w:r>
      <w:r>
        <w:rPr>
          <w:rFonts w:hint="eastAsia" w:ascii="宋体" w:hAnsi="宋体" w:eastAsia="宋体" w:cs="Times New Roman"/>
          <w:color w:val="auto"/>
          <w:szCs w:val="21"/>
        </w:rPr>
        <w:t>本工程为固定单价合同，工程量按双方确认的竣工图及签证变更资料按实计算，工程量计算执行2018年广东省建设工程计价依据，结算单价按投标人中标单价计算，税费按本合同约定发票类型及税率计取。</w:t>
      </w:r>
    </w:p>
    <w:p>
      <w:pPr>
        <w:tabs>
          <w:tab w:val="left" w:pos="7560"/>
        </w:tabs>
        <w:spacing w:line="360" w:lineRule="auto"/>
        <w:ind w:firstLine="420" w:firstLineChars="200"/>
        <w:rPr>
          <w:rFonts w:hint="eastAsia" w:ascii="宋体" w:hAnsi="宋体" w:eastAsia="宋体" w:cs="Times New Roman"/>
          <w:color w:val="auto"/>
          <w:szCs w:val="21"/>
        </w:rPr>
      </w:pPr>
      <w:r>
        <w:rPr>
          <w:rFonts w:hint="eastAsia" w:ascii="宋体" w:hAnsi="宋体" w:eastAsia="宋体" w:cs="Times New Roman"/>
          <w:color w:val="auto"/>
          <w:szCs w:val="21"/>
          <w:lang w:val="en-US" w:eastAsia="zh-CN"/>
        </w:rPr>
        <w:t>3.</w:t>
      </w:r>
      <w:r>
        <w:rPr>
          <w:rFonts w:hint="eastAsia" w:ascii="宋体" w:hAnsi="宋体" w:eastAsia="宋体" w:cs="Times New Roman"/>
          <w:color w:val="auto"/>
          <w:szCs w:val="21"/>
        </w:rPr>
        <w:t>1、本工程投标报价为固定综合单价方式，该综合单价应包括人工费、设备费、材料费、机械费、管理费、规费、利润等，同时投标单位应充分考虑施工难度、赶工期、施工期间各类建材的市场风险和国家政策性调整以及施工条件确定风险系数计入综合单价。</w:t>
      </w:r>
    </w:p>
    <w:p>
      <w:pPr>
        <w:tabs>
          <w:tab w:val="left" w:pos="7560"/>
        </w:tabs>
        <w:spacing w:line="360" w:lineRule="auto"/>
        <w:ind w:firstLine="420" w:firstLineChars="200"/>
        <w:rPr>
          <w:rFonts w:hint="eastAsia" w:ascii="宋体" w:hAnsi="宋体" w:eastAsia="宋体" w:cs="Times New Roman"/>
          <w:color w:val="auto"/>
          <w:szCs w:val="21"/>
        </w:rPr>
      </w:pPr>
      <w:r>
        <w:rPr>
          <w:rFonts w:hint="eastAsia" w:ascii="宋体" w:hAnsi="宋体" w:eastAsia="宋体" w:cs="Times New Roman"/>
          <w:color w:val="auto"/>
          <w:szCs w:val="21"/>
          <w:lang w:val="en-US" w:eastAsia="zh-CN"/>
        </w:rPr>
        <w:t>3.</w:t>
      </w:r>
      <w:r>
        <w:rPr>
          <w:rFonts w:hint="eastAsia" w:ascii="宋体" w:hAnsi="宋体" w:eastAsia="宋体" w:cs="Times New Roman"/>
          <w:color w:val="auto"/>
          <w:szCs w:val="21"/>
        </w:rPr>
        <w:t>2、综合单价已包含安全文明施工、施工扬尘污染防治、环境保护、安全措施、夜间施工降效、临时设施、现场内外水平及垂直运输费、检查整改费、窝工损失费、施工扰民费、交通费、冬雨季施工增加费、二次转运费、工完场清、工程竣工验收合格并移交甲方前的成品与半成品保护。</w:t>
      </w:r>
    </w:p>
    <w:p>
      <w:pPr>
        <w:tabs>
          <w:tab w:val="left" w:pos="7560"/>
        </w:tabs>
        <w:spacing w:line="360" w:lineRule="auto"/>
        <w:ind w:firstLine="420" w:firstLineChars="200"/>
        <w:rPr>
          <w:rFonts w:hint="eastAsia" w:ascii="宋体" w:hAnsi="宋体" w:eastAsia="宋体" w:cs="Times New Roman"/>
          <w:color w:val="auto"/>
          <w:szCs w:val="21"/>
        </w:rPr>
      </w:pPr>
      <w:r>
        <w:rPr>
          <w:rFonts w:hint="eastAsia" w:ascii="宋体" w:hAnsi="宋体" w:eastAsia="宋体" w:cs="Times New Roman"/>
          <w:color w:val="auto"/>
          <w:szCs w:val="21"/>
          <w:lang w:val="en-US" w:eastAsia="zh-CN"/>
        </w:rPr>
        <w:t>3.</w:t>
      </w:r>
      <w:r>
        <w:rPr>
          <w:rFonts w:hint="eastAsia" w:ascii="宋体" w:hAnsi="宋体" w:eastAsia="宋体" w:cs="Times New Roman"/>
          <w:color w:val="auto"/>
          <w:szCs w:val="21"/>
        </w:rPr>
        <w:t>3、签证变更计价方式。（1）清单中有相同综合单价的，按清单中的相同综合单价计算；（2）清单中有类似综合单价的，按类似综合单价计算；（3）清单中没有适用或类似于变更工程的价格，双方协商、参考市场价。</w:t>
      </w:r>
    </w:p>
    <w:p>
      <w:pPr>
        <w:tabs>
          <w:tab w:val="left" w:pos="-142"/>
          <w:tab w:val="left" w:pos="0"/>
          <w:tab w:val="left" w:pos="720"/>
        </w:tabs>
        <w:snapToGrid w:val="0"/>
        <w:spacing w:line="480" w:lineRule="exact"/>
        <w:rPr>
          <w:rFonts w:hint="eastAsia" w:ascii="宋体" w:hAnsi="宋体"/>
          <w:color w:val="auto"/>
          <w:szCs w:val="21"/>
        </w:rPr>
      </w:pPr>
      <w:r>
        <w:rPr>
          <w:rFonts w:hint="eastAsia" w:ascii="宋体" w:hAnsi="宋体"/>
          <w:color w:val="auto"/>
          <w:szCs w:val="21"/>
        </w:rPr>
        <w:t xml:space="preserve">    4、乙方有义务配合甲方完成成本控制工作，并在超出甲方限额的情况下提出图纸优化方案，乙方未按甲方要求控制成本或者未经甲方书面确认允许超出限额的，超额部分的损失由乙方自行承担。</w:t>
      </w:r>
    </w:p>
    <w:p>
      <w:pPr>
        <w:tabs>
          <w:tab w:val="left" w:pos="-142"/>
          <w:tab w:val="left" w:pos="0"/>
          <w:tab w:val="left" w:pos="720"/>
        </w:tabs>
        <w:snapToGrid w:val="0"/>
        <w:spacing w:line="480" w:lineRule="exact"/>
        <w:ind w:firstLine="420" w:firstLineChars="200"/>
        <w:rPr>
          <w:rFonts w:ascii="宋体" w:hAnsi="宋体"/>
          <w:color w:val="auto"/>
          <w:szCs w:val="21"/>
        </w:rPr>
      </w:pPr>
      <w:r>
        <w:rPr>
          <w:rFonts w:hint="eastAsia" w:ascii="宋体" w:hAnsi="宋体"/>
          <w:color w:val="auto"/>
          <w:szCs w:val="21"/>
        </w:rPr>
        <w:t>5、若甲方认为有必要，有权采用甲供材料方式，材料损耗率按定额标准损耗率计算，超过部分由乙方承担。</w:t>
      </w:r>
    </w:p>
    <w:p>
      <w:pPr>
        <w:tabs>
          <w:tab w:val="left" w:pos="-142"/>
          <w:tab w:val="left" w:pos="0"/>
          <w:tab w:val="left" w:pos="720"/>
        </w:tabs>
        <w:snapToGrid w:val="0"/>
        <w:spacing w:line="480" w:lineRule="exact"/>
        <w:ind w:firstLine="420" w:firstLineChars="200"/>
        <w:rPr>
          <w:rFonts w:hint="eastAsia" w:ascii="宋体" w:hAnsi="宋体"/>
          <w:color w:val="auto"/>
          <w:szCs w:val="21"/>
        </w:rPr>
      </w:pPr>
      <w:r>
        <w:rPr>
          <w:rFonts w:hint="eastAsia" w:ascii="宋体" w:hAnsi="宋体"/>
          <w:color w:val="auto"/>
          <w:szCs w:val="21"/>
        </w:rPr>
        <w:t>6、在合同履约过程中，乙方出现以下情形之一的，甲方有权随时更换或者增加第三方单位进行施工，第三方单位实际施工产生的工程款参照本合同的结算条款，按实结算。（1）乙方延期完成合同约定的工期节点或甲方下发的工作指令单的工期节点达一次及以上的；（2）乙方未能达到合同约定的工程质量标准的一次及以上的；（3）乙方未能按照国家、行业施工标准进行施工，经甲方发现超过一次及以上的。</w:t>
      </w:r>
    </w:p>
    <w:p>
      <w:pPr>
        <w:tabs>
          <w:tab w:val="left" w:pos="7560"/>
        </w:tabs>
        <w:spacing w:line="360" w:lineRule="auto"/>
        <w:ind w:firstLine="490"/>
        <w:rPr>
          <w:rFonts w:hint="eastAsia" w:ascii="宋体" w:hAnsi="宋体"/>
          <w:bCs/>
          <w:color w:val="auto"/>
          <w:szCs w:val="21"/>
        </w:rPr>
      </w:pPr>
      <w:r>
        <w:rPr>
          <w:rFonts w:hint="eastAsia" w:ascii="宋体" w:hAnsi="宋体"/>
          <w:color w:val="auto"/>
          <w:szCs w:val="21"/>
        </w:rPr>
        <w:t>若乙方出现以下情形之一的，</w:t>
      </w:r>
      <w:r>
        <w:rPr>
          <w:rFonts w:hint="eastAsia" w:ascii="宋体" w:hAnsi="宋体"/>
          <w:color w:val="auto"/>
          <w:szCs w:val="21"/>
        </w:rPr>
        <w:t>甲方有权解除合同，乙方应按工程预算总造价的10%支付违约金，乙方所有人员、设备必须在甲方解除合同书面通知送达之日起三个工作日内撤离施工现场并向甲方移交有关的所有工程资料，同时，甲方对</w:t>
      </w:r>
      <w:r>
        <w:rPr>
          <w:rFonts w:hint="eastAsia" w:ascii="宋体" w:hAnsi="宋体"/>
          <w:bCs/>
          <w:color w:val="auto"/>
          <w:szCs w:val="21"/>
        </w:rPr>
        <w:t>乙方已完成合格部分的工程量进行结算。</w:t>
      </w:r>
    </w:p>
    <w:p>
      <w:pPr>
        <w:tabs>
          <w:tab w:val="left" w:pos="7560"/>
        </w:tabs>
        <w:spacing w:line="360" w:lineRule="auto"/>
        <w:ind w:firstLine="490"/>
        <w:rPr>
          <w:rFonts w:hint="eastAsia" w:ascii="宋体" w:hAnsi="宋体"/>
          <w:color w:val="auto"/>
          <w:szCs w:val="21"/>
        </w:rPr>
      </w:pPr>
      <w:r>
        <w:rPr>
          <w:rFonts w:hint="eastAsia" w:ascii="宋体" w:hAnsi="宋体"/>
          <w:color w:val="auto"/>
          <w:szCs w:val="21"/>
        </w:rPr>
        <w:t>（1）乙方延期完成合同约定的工期节点或甲方下发的工作指令单的工期节点达两次及以上的；</w:t>
      </w:r>
    </w:p>
    <w:p>
      <w:pPr>
        <w:tabs>
          <w:tab w:val="left" w:pos="7560"/>
        </w:tabs>
        <w:spacing w:line="360" w:lineRule="auto"/>
        <w:ind w:firstLine="490"/>
        <w:rPr>
          <w:rFonts w:hint="eastAsia" w:ascii="宋体" w:hAnsi="宋体"/>
          <w:color w:val="auto"/>
          <w:szCs w:val="21"/>
        </w:rPr>
      </w:pPr>
      <w:r>
        <w:rPr>
          <w:rFonts w:hint="eastAsia" w:ascii="宋体" w:hAnsi="宋体"/>
          <w:color w:val="auto"/>
          <w:szCs w:val="21"/>
        </w:rPr>
        <w:t>（2）乙方未能达到合同约定的工程质量标准的两次及以上的；</w:t>
      </w:r>
    </w:p>
    <w:p>
      <w:pPr>
        <w:tabs>
          <w:tab w:val="left" w:pos="-142"/>
          <w:tab w:val="left" w:pos="0"/>
          <w:tab w:val="left" w:pos="720"/>
        </w:tabs>
        <w:snapToGrid w:val="0"/>
        <w:spacing w:line="480" w:lineRule="exact"/>
        <w:ind w:firstLine="539" w:firstLineChars="257"/>
        <w:rPr>
          <w:rFonts w:hint="eastAsia" w:ascii="宋体" w:hAnsi="宋体"/>
          <w:color w:val="auto"/>
          <w:szCs w:val="21"/>
        </w:rPr>
      </w:pPr>
      <w:r>
        <w:rPr>
          <w:rFonts w:hint="eastAsia" w:ascii="宋体" w:hAnsi="宋体" w:eastAsia="宋体" w:cs="Times New Roman"/>
          <w:color w:val="auto"/>
          <w:szCs w:val="21"/>
        </w:rPr>
        <w:t>（3）乙</w:t>
      </w:r>
      <w:r>
        <w:rPr>
          <w:rFonts w:hint="eastAsia" w:ascii="宋体" w:hAnsi="宋体"/>
          <w:color w:val="auto"/>
          <w:szCs w:val="21"/>
        </w:rPr>
        <w:t>方未能按照国家、行业施工标准进行施工，经甲方发现超过两次及以上的。</w:t>
      </w:r>
    </w:p>
    <w:p>
      <w:pPr>
        <w:spacing w:line="480" w:lineRule="exact"/>
        <w:rPr>
          <w:rFonts w:ascii="宋体" w:hAnsi="宋体"/>
          <w:b/>
          <w:color w:val="auto"/>
          <w:szCs w:val="21"/>
        </w:rPr>
      </w:pPr>
      <w:r>
        <w:rPr>
          <w:rFonts w:hint="eastAsia" w:ascii="宋体" w:hAnsi="宋体"/>
          <w:b/>
          <w:color w:val="auto"/>
          <w:szCs w:val="21"/>
        </w:rPr>
        <w:t>第五条  工期</w:t>
      </w:r>
    </w:p>
    <w:p>
      <w:pPr>
        <w:tabs>
          <w:tab w:val="left" w:pos="284"/>
        </w:tabs>
        <w:spacing w:line="480" w:lineRule="exact"/>
        <w:ind w:firstLine="630" w:firstLineChars="300"/>
        <w:rPr>
          <w:color w:val="auto"/>
          <w:kern w:val="0"/>
          <w:szCs w:val="21"/>
          <w:u w:val="single"/>
        </w:rPr>
      </w:pPr>
      <w:r>
        <w:rPr>
          <w:rFonts w:hint="eastAsia" w:ascii="宋体" w:hAnsi="宋体"/>
          <w:color w:val="auto"/>
          <w:szCs w:val="21"/>
        </w:rPr>
        <w:t>（一）</w:t>
      </w:r>
      <w:r>
        <w:rPr>
          <w:rFonts w:hint="eastAsia" w:ascii="宋体" w:hAnsi="宋体"/>
          <w:color w:val="auto"/>
          <w:szCs w:val="21"/>
          <w:u w:val="single"/>
        </w:rPr>
        <w:t xml:space="preserve"> 202</w:t>
      </w:r>
      <w:r>
        <w:rPr>
          <w:rFonts w:hint="eastAsia" w:ascii="宋体" w:hAnsi="宋体"/>
          <w:color w:val="auto"/>
          <w:szCs w:val="21"/>
          <w:u w:val="single"/>
          <w:lang w:val="en-US" w:eastAsia="zh-CN"/>
        </w:rPr>
        <w:t>3</w:t>
      </w:r>
      <w:r>
        <w:rPr>
          <w:rFonts w:hint="eastAsia" w:ascii="宋体" w:hAnsi="宋体"/>
          <w:color w:val="auto"/>
          <w:szCs w:val="21"/>
          <w:u w:val="single"/>
        </w:rPr>
        <w:t xml:space="preserve"> 年</w:t>
      </w:r>
      <w:r>
        <w:rPr>
          <w:rFonts w:hint="eastAsia" w:ascii="宋体" w:hAnsi="宋体"/>
          <w:color w:val="auto"/>
          <w:szCs w:val="21"/>
          <w:u w:val="single"/>
          <w:lang w:val="en-US" w:eastAsia="zh-CN"/>
        </w:rPr>
        <w:t xml:space="preserve">    </w:t>
      </w:r>
      <w:r>
        <w:rPr>
          <w:rFonts w:hint="eastAsia" w:ascii="宋体" w:hAnsi="宋体"/>
          <w:color w:val="auto"/>
          <w:szCs w:val="21"/>
          <w:u w:val="single"/>
        </w:rPr>
        <w:t>月</w:t>
      </w:r>
      <w:r>
        <w:rPr>
          <w:rFonts w:hint="eastAsia" w:ascii="宋体" w:hAnsi="宋体"/>
          <w:color w:val="auto"/>
          <w:szCs w:val="21"/>
          <w:u w:val="single"/>
          <w:lang w:val="en-US" w:eastAsia="zh-CN"/>
        </w:rPr>
        <w:t xml:space="preserve">   </w:t>
      </w:r>
      <w:r>
        <w:rPr>
          <w:rFonts w:hint="eastAsia" w:ascii="宋体" w:hAnsi="宋体"/>
          <w:color w:val="auto"/>
          <w:szCs w:val="21"/>
          <w:u w:val="single"/>
        </w:rPr>
        <w:t>日起至2023年</w:t>
      </w:r>
      <w:r>
        <w:rPr>
          <w:rFonts w:hint="eastAsia" w:ascii="宋体" w:hAnsi="宋体"/>
          <w:color w:val="auto"/>
          <w:szCs w:val="21"/>
          <w:u w:val="single"/>
          <w:lang w:val="en-US" w:eastAsia="zh-CN"/>
        </w:rPr>
        <w:t xml:space="preserve">   </w:t>
      </w:r>
      <w:r>
        <w:rPr>
          <w:rFonts w:hint="eastAsia" w:ascii="宋体" w:hAnsi="宋体"/>
          <w:color w:val="auto"/>
          <w:szCs w:val="21"/>
          <w:u w:val="single"/>
        </w:rPr>
        <w:t>月</w:t>
      </w:r>
      <w:r>
        <w:rPr>
          <w:rFonts w:hint="eastAsia" w:ascii="宋体" w:hAnsi="宋体"/>
          <w:color w:val="auto"/>
          <w:szCs w:val="21"/>
          <w:u w:val="single"/>
          <w:lang w:val="en-US" w:eastAsia="zh-CN"/>
        </w:rPr>
        <w:t xml:space="preserve">    </w:t>
      </w:r>
      <w:r>
        <w:rPr>
          <w:rFonts w:hint="eastAsia" w:ascii="宋体" w:hAnsi="宋体"/>
          <w:color w:val="auto"/>
          <w:szCs w:val="21"/>
          <w:u w:val="single"/>
        </w:rPr>
        <w:t>日，工期为</w:t>
      </w:r>
      <w:r>
        <w:rPr>
          <w:rFonts w:hint="eastAsia" w:ascii="宋体" w:hAnsi="宋体"/>
          <w:color w:val="auto"/>
          <w:szCs w:val="21"/>
          <w:u w:val="single"/>
          <w:lang w:val="en-US" w:eastAsia="zh-CN"/>
        </w:rPr>
        <w:t xml:space="preserve">     </w:t>
      </w:r>
      <w:r>
        <w:rPr>
          <w:rFonts w:hint="eastAsia" w:ascii="宋体" w:hAnsi="宋体"/>
          <w:color w:val="auto"/>
          <w:szCs w:val="21"/>
          <w:u w:val="single"/>
        </w:rPr>
        <w:t>个日历天（含国家法定节假日）</w:t>
      </w:r>
      <w:r>
        <w:rPr>
          <w:rFonts w:hint="eastAsia" w:ascii="宋体" w:hAnsi="宋体"/>
          <w:color w:val="auto"/>
          <w:szCs w:val="21"/>
        </w:rPr>
        <w:t>，具体日期</w:t>
      </w:r>
      <w:r>
        <w:rPr>
          <w:rFonts w:hint="eastAsia" w:ascii="宋体" w:hAnsi="宋体"/>
          <w:color w:val="auto"/>
          <w:kern w:val="0"/>
          <w:szCs w:val="21"/>
        </w:rPr>
        <w:t>以甲方开工通知单上载明的开工日期为准，施工过程中无条件配合项目总进度计划中关键节</w:t>
      </w:r>
      <w:r>
        <w:rPr>
          <w:rFonts w:hint="eastAsia"/>
          <w:color w:val="auto"/>
          <w:kern w:val="0"/>
          <w:szCs w:val="21"/>
        </w:rPr>
        <w:t>点实施或者调整。</w:t>
      </w:r>
    </w:p>
    <w:p>
      <w:pPr>
        <w:spacing w:line="480" w:lineRule="exact"/>
        <w:ind w:firstLine="630" w:firstLineChars="300"/>
        <w:rPr>
          <w:rFonts w:ascii="宋体" w:hAnsi="宋体"/>
          <w:color w:val="auto"/>
          <w:szCs w:val="21"/>
        </w:rPr>
      </w:pPr>
      <w:r>
        <w:rPr>
          <w:rFonts w:hint="eastAsia" w:ascii="宋体" w:hAnsi="宋体"/>
          <w:color w:val="auto"/>
          <w:szCs w:val="21"/>
        </w:rPr>
        <w:t>（二）如遇下列情况，乙方须在发生签证事由两日内书面通知甲方及监理方，并经甲乙双方代表书面签证，工期相应顺延，甲方不再承担其他责任（包括但不限于乙方人员、设备窝工、停工费用等）；否则视为乙方放弃签证的权利，工期不予顺延。</w:t>
      </w:r>
    </w:p>
    <w:p>
      <w:pPr>
        <w:tabs>
          <w:tab w:val="left" w:pos="900"/>
        </w:tabs>
        <w:snapToGrid w:val="0"/>
        <w:spacing w:line="480" w:lineRule="exact"/>
        <w:ind w:firstLine="420" w:firstLineChars="200"/>
        <w:rPr>
          <w:rFonts w:ascii="宋体" w:hAnsi="宋体"/>
          <w:color w:val="auto"/>
          <w:szCs w:val="21"/>
        </w:rPr>
      </w:pPr>
      <w:r>
        <w:rPr>
          <w:rFonts w:ascii="宋体" w:hAnsi="宋体"/>
          <w:color w:val="auto"/>
          <w:szCs w:val="21"/>
        </w:rPr>
        <w:t>1</w:t>
      </w:r>
      <w:r>
        <w:rPr>
          <w:rFonts w:hint="eastAsia" w:ascii="宋体" w:hAnsi="宋体"/>
          <w:color w:val="auto"/>
          <w:szCs w:val="21"/>
        </w:rPr>
        <w:t>、因甲方原因影响工程项目进度，如未按时交出场地、接通水电、甲方变更设计影响施工；</w:t>
      </w:r>
    </w:p>
    <w:p>
      <w:pPr>
        <w:autoSpaceDE w:val="0"/>
        <w:autoSpaceDN w:val="0"/>
        <w:adjustRightInd w:val="0"/>
        <w:spacing w:line="480" w:lineRule="exact"/>
        <w:ind w:firstLine="420" w:firstLineChars="200"/>
        <w:rPr>
          <w:rFonts w:ascii="宋体" w:hAnsi="宋体"/>
          <w:color w:val="auto"/>
          <w:szCs w:val="21"/>
        </w:rPr>
      </w:pPr>
      <w:r>
        <w:rPr>
          <w:rFonts w:hint="eastAsia" w:ascii="宋体" w:hAnsi="宋体"/>
          <w:color w:val="auto"/>
          <w:szCs w:val="21"/>
        </w:rPr>
        <w:t>2、一周内连续下雨累计超过24小时及以上，或一天内持续下雨达6小时及以上的（施工条件不受天气影响的除外）；</w:t>
      </w:r>
    </w:p>
    <w:p>
      <w:pPr>
        <w:autoSpaceDE w:val="0"/>
        <w:autoSpaceDN w:val="0"/>
        <w:adjustRightInd w:val="0"/>
        <w:spacing w:line="480" w:lineRule="exact"/>
        <w:ind w:firstLine="420" w:firstLineChars="200"/>
        <w:jc w:val="left"/>
        <w:rPr>
          <w:rFonts w:hAnsi="宋体"/>
          <w:color w:val="auto"/>
          <w:szCs w:val="21"/>
        </w:rPr>
      </w:pPr>
      <w:r>
        <w:rPr>
          <w:rFonts w:hint="eastAsia" w:ascii="宋体" w:hAnsi="宋体"/>
          <w:color w:val="auto"/>
          <w:szCs w:val="21"/>
        </w:rPr>
        <w:t>3、</w:t>
      </w:r>
      <w:r>
        <w:rPr>
          <w:rFonts w:hint="eastAsia" w:hAnsi="宋体"/>
          <w:color w:val="auto"/>
          <w:szCs w:val="21"/>
        </w:rPr>
        <w:t>一周内非乙方原因停水、停电、停气造成停工累计超过8小时；</w:t>
      </w:r>
    </w:p>
    <w:p>
      <w:pPr>
        <w:autoSpaceDE w:val="0"/>
        <w:autoSpaceDN w:val="0"/>
        <w:adjustRightInd w:val="0"/>
        <w:spacing w:line="480" w:lineRule="exact"/>
        <w:ind w:firstLine="420" w:firstLineChars="200"/>
        <w:jc w:val="left"/>
        <w:rPr>
          <w:rFonts w:hAnsi="宋体"/>
          <w:color w:val="auto"/>
          <w:szCs w:val="21"/>
        </w:rPr>
      </w:pPr>
      <w:r>
        <w:rPr>
          <w:rFonts w:hint="eastAsia" w:hAnsi="宋体"/>
          <w:color w:val="auto"/>
          <w:szCs w:val="21"/>
        </w:rPr>
        <w:t>4、监理工程师未按照合同约定及时提供所需指令、回复等；</w:t>
      </w:r>
    </w:p>
    <w:p>
      <w:pPr>
        <w:autoSpaceDE w:val="0"/>
        <w:autoSpaceDN w:val="0"/>
        <w:adjustRightInd w:val="0"/>
        <w:spacing w:line="480" w:lineRule="exact"/>
        <w:ind w:firstLine="420" w:firstLineChars="200"/>
        <w:jc w:val="left"/>
        <w:rPr>
          <w:rFonts w:ascii="宋体" w:hAnsi="宋体"/>
          <w:color w:val="auto"/>
          <w:szCs w:val="21"/>
        </w:rPr>
      </w:pPr>
      <w:r>
        <w:rPr>
          <w:rFonts w:hint="eastAsia" w:hAnsi="宋体"/>
          <w:color w:val="auto"/>
          <w:szCs w:val="21"/>
        </w:rPr>
        <w:t>5、发包人风险事件</w:t>
      </w:r>
    </w:p>
    <w:p>
      <w:pPr>
        <w:autoSpaceDE w:val="0"/>
        <w:autoSpaceDN w:val="0"/>
        <w:adjustRightInd w:val="0"/>
        <w:spacing w:line="480" w:lineRule="exact"/>
        <w:ind w:firstLine="420" w:firstLineChars="200"/>
        <w:jc w:val="left"/>
        <w:rPr>
          <w:rFonts w:ascii="宋体" w:hAnsi="宋体"/>
          <w:color w:val="auto"/>
          <w:szCs w:val="21"/>
        </w:rPr>
      </w:pPr>
      <w:r>
        <w:rPr>
          <w:rFonts w:hint="eastAsia" w:ascii="宋体" w:hAnsi="宋体"/>
          <w:color w:val="auto"/>
          <w:szCs w:val="21"/>
        </w:rPr>
        <w:t>6、不可抗力因素（地震、海啸、瘟疫、战争、政府法律条文变动）。</w:t>
      </w:r>
    </w:p>
    <w:p>
      <w:pPr>
        <w:autoSpaceDE w:val="0"/>
        <w:autoSpaceDN w:val="0"/>
        <w:adjustRightInd w:val="0"/>
        <w:spacing w:line="480" w:lineRule="exact"/>
        <w:ind w:firstLine="315" w:firstLineChars="150"/>
        <w:rPr>
          <w:rFonts w:ascii="宋体" w:hAnsi="宋体"/>
          <w:color w:val="auto"/>
          <w:szCs w:val="21"/>
        </w:rPr>
      </w:pPr>
      <w:r>
        <w:rPr>
          <w:rFonts w:hint="eastAsia" w:ascii="宋体" w:hAnsi="宋体"/>
          <w:color w:val="auto"/>
          <w:szCs w:val="21"/>
        </w:rPr>
        <w:t>(三)乙方有责任与其他承包商合作，各个承包商之间发生或协调有关的争议时应提交监理和甲方，并由监理和甲方协调解决。甲方的决定将成为最终决定并约束有关各方。</w:t>
      </w:r>
    </w:p>
    <w:p>
      <w:pPr>
        <w:autoSpaceDE w:val="0"/>
        <w:autoSpaceDN w:val="0"/>
        <w:adjustRightInd w:val="0"/>
        <w:spacing w:line="480" w:lineRule="exact"/>
        <w:ind w:firstLine="210" w:firstLineChars="100"/>
        <w:rPr>
          <w:rFonts w:ascii="宋体" w:hAnsi="宋体"/>
          <w:color w:val="auto"/>
          <w:szCs w:val="21"/>
        </w:rPr>
      </w:pPr>
      <w:r>
        <w:rPr>
          <w:rFonts w:hint="eastAsia" w:ascii="宋体" w:hAnsi="宋体"/>
          <w:color w:val="auto"/>
          <w:szCs w:val="21"/>
        </w:rPr>
        <w:t>（四）若因乙方原因造成工期延误，乙方应承担以下违约责任：</w:t>
      </w:r>
    </w:p>
    <w:p>
      <w:pPr>
        <w:tabs>
          <w:tab w:val="left" w:pos="284"/>
          <w:tab w:val="left" w:pos="426"/>
        </w:tabs>
        <w:autoSpaceDE w:val="0"/>
        <w:autoSpaceDN w:val="0"/>
        <w:adjustRightInd w:val="0"/>
        <w:spacing w:line="480" w:lineRule="exact"/>
        <w:ind w:firstLine="210" w:firstLineChars="100"/>
        <w:rPr>
          <w:rFonts w:ascii="宋体" w:hAnsi="宋体"/>
          <w:color w:val="auto"/>
          <w:szCs w:val="21"/>
        </w:rPr>
      </w:pPr>
      <w:r>
        <w:rPr>
          <w:rFonts w:hint="eastAsia" w:ascii="宋体" w:hAnsi="宋体"/>
          <w:color w:val="auto"/>
          <w:szCs w:val="21"/>
        </w:rPr>
        <w:t xml:space="preserve">  1、未能在甲方设定的关键工程进度节点如期完工的，须向甲方每天支付违约金</w:t>
      </w:r>
      <w:r>
        <w:rPr>
          <w:rFonts w:hint="eastAsia" w:ascii="宋体" w:hAnsi="宋体"/>
          <w:color w:val="auto"/>
          <w:szCs w:val="21"/>
        </w:rPr>
        <w:t>¥</w:t>
      </w:r>
      <w:r>
        <w:rPr>
          <w:rFonts w:hint="eastAsia" w:ascii="宋体" w:hAnsi="宋体"/>
          <w:color w:val="auto"/>
          <w:szCs w:val="21"/>
          <w:u w:val="single"/>
        </w:rPr>
        <w:t>5,000.00</w:t>
      </w:r>
      <w:r>
        <w:rPr>
          <w:rFonts w:hint="eastAsia" w:ascii="宋体" w:hAnsi="宋体"/>
          <w:color w:val="auto"/>
          <w:szCs w:val="21"/>
        </w:rPr>
        <w:t>元，甲方可在工程进度款中直接扣除。</w:t>
      </w:r>
    </w:p>
    <w:p>
      <w:pPr>
        <w:tabs>
          <w:tab w:val="left" w:pos="284"/>
          <w:tab w:val="left" w:pos="426"/>
        </w:tabs>
        <w:autoSpaceDE w:val="0"/>
        <w:autoSpaceDN w:val="0"/>
        <w:adjustRightInd w:val="0"/>
        <w:spacing w:line="480" w:lineRule="exact"/>
        <w:ind w:firstLine="210" w:firstLineChars="100"/>
        <w:rPr>
          <w:rFonts w:hint="eastAsia" w:ascii="宋体" w:hAnsi="宋体"/>
          <w:color w:val="auto"/>
          <w:szCs w:val="21"/>
        </w:rPr>
      </w:pPr>
      <w:r>
        <w:rPr>
          <w:rFonts w:hint="eastAsia" w:ascii="宋体" w:hAnsi="宋体"/>
          <w:color w:val="auto"/>
          <w:szCs w:val="21"/>
        </w:rPr>
        <w:t xml:space="preserve">  2、如果超过竣工日期仍未竣工，延期违约金按每天</w:t>
      </w:r>
      <w:r>
        <w:rPr>
          <w:rFonts w:hint="eastAsia" w:ascii="宋体" w:hAnsi="宋体"/>
          <w:color w:val="auto"/>
          <w:szCs w:val="21"/>
          <w:u w:val="single"/>
        </w:rPr>
        <w:t>¥2,000.00</w:t>
      </w:r>
      <w:r>
        <w:rPr>
          <w:rFonts w:hint="eastAsia" w:ascii="宋体" w:hAnsi="宋体"/>
          <w:color w:val="auto"/>
          <w:szCs w:val="21"/>
        </w:rPr>
        <w:t>元计，甲方可在工程进度款中直接扣除。同时，工期延误超过10天的，甲方有权解除本合同。</w:t>
      </w:r>
    </w:p>
    <w:p>
      <w:pPr>
        <w:tabs>
          <w:tab w:val="left" w:pos="284"/>
          <w:tab w:val="left" w:pos="426"/>
        </w:tabs>
        <w:autoSpaceDE w:val="0"/>
        <w:autoSpaceDN w:val="0"/>
        <w:adjustRightInd w:val="0"/>
        <w:spacing w:line="480" w:lineRule="exact"/>
        <w:ind w:firstLine="210" w:firstLineChars="100"/>
        <w:rPr>
          <w:rFonts w:hint="eastAsia" w:ascii="宋体" w:hAnsi="宋体"/>
          <w:color w:val="auto"/>
          <w:szCs w:val="21"/>
        </w:rPr>
      </w:pPr>
      <w:r>
        <w:rPr>
          <w:rFonts w:hint="eastAsia" w:ascii="宋体" w:hAnsi="宋体"/>
          <w:color w:val="auto"/>
          <w:szCs w:val="21"/>
        </w:rPr>
        <w:t>（五）如乙方不能按期完成承包范围内的工程项目，甲方有权委托第三方代乙方完成，因此造成甲方的一切损失再加上</w:t>
      </w:r>
      <w:r>
        <w:rPr>
          <w:rFonts w:hint="eastAsia" w:ascii="宋体" w:hAnsi="宋体"/>
          <w:color w:val="auto"/>
          <w:szCs w:val="21"/>
        </w:rPr>
        <w:t>25%</w:t>
      </w:r>
      <w:r>
        <w:rPr>
          <w:rFonts w:hint="eastAsia" w:ascii="宋体" w:hAnsi="宋体"/>
          <w:color w:val="auto"/>
          <w:szCs w:val="21"/>
        </w:rPr>
        <w:t>的管理费由乙方承担，并在工程结算的总造价中扣除。</w:t>
      </w:r>
    </w:p>
    <w:p>
      <w:pPr>
        <w:tabs>
          <w:tab w:val="left" w:pos="525"/>
        </w:tabs>
        <w:spacing w:line="480" w:lineRule="exact"/>
        <w:rPr>
          <w:rFonts w:ascii="宋体" w:hAnsi="宋体"/>
          <w:b/>
          <w:color w:val="auto"/>
          <w:szCs w:val="21"/>
        </w:rPr>
      </w:pPr>
      <w:r>
        <w:rPr>
          <w:rFonts w:hint="eastAsia" w:ascii="宋体" w:hAnsi="宋体"/>
          <w:b/>
          <w:color w:val="auto"/>
          <w:szCs w:val="21"/>
        </w:rPr>
        <w:t>第六条  结算</w:t>
      </w:r>
    </w:p>
    <w:p>
      <w:pPr>
        <w:tabs>
          <w:tab w:val="left" w:pos="525"/>
        </w:tabs>
        <w:spacing w:line="480" w:lineRule="exact"/>
        <w:ind w:firstLine="420" w:firstLineChars="200"/>
        <w:rPr>
          <w:rFonts w:ascii="宋体" w:hAnsi="宋体"/>
          <w:color w:val="auto"/>
          <w:szCs w:val="21"/>
        </w:rPr>
      </w:pPr>
      <w:r>
        <w:rPr>
          <w:rFonts w:hint="eastAsia" w:ascii="宋体" w:hAnsi="宋体"/>
          <w:color w:val="auto"/>
          <w:szCs w:val="21"/>
        </w:rPr>
        <w:t>（一）工程竣工完成，需提供整套完整的分部分项验收资料提交给甲方确认后，乙方提供的分部分项验收资料应根据《《建设工程质量管理条例》（279号令）、《城市建设档案管理规定》（建设部90号令）、《建设工程文件归档整理规范》 （GB/T50328—2001）、《城市建设档案著录规范》 （GB/T50328—2001）、《建筑工程施工质量验收统一标准》（GB/T50328—2013）和《广东省建设厅关于统一使用〈广东省建筑工程分部分项验收技术资料统一用表〉的通知》的要求完成工程文件整理及档案的移交，以实现甲方工程档案管理的规范化、标准化。</w:t>
      </w:r>
    </w:p>
    <w:p>
      <w:pPr>
        <w:tabs>
          <w:tab w:val="left" w:pos="525"/>
        </w:tabs>
        <w:spacing w:line="480" w:lineRule="exact"/>
        <w:ind w:firstLine="420" w:firstLineChars="200"/>
        <w:rPr>
          <w:rFonts w:ascii="宋体" w:hAnsi="宋体"/>
          <w:color w:val="auto"/>
          <w:szCs w:val="21"/>
        </w:rPr>
      </w:pPr>
      <w:r>
        <w:rPr>
          <w:rFonts w:hint="eastAsia" w:ascii="宋体" w:hAnsi="宋体"/>
          <w:color w:val="auto"/>
          <w:szCs w:val="21"/>
        </w:rPr>
        <w:t>（二）工程分部分项验收报告经甲方认可后</w:t>
      </w:r>
      <w:r>
        <w:rPr>
          <w:rFonts w:ascii="宋体" w:hAnsi="宋体"/>
          <w:color w:val="auto"/>
          <w:szCs w:val="21"/>
        </w:rPr>
        <w:t>30</w:t>
      </w:r>
      <w:r>
        <w:rPr>
          <w:rFonts w:hint="eastAsia" w:ascii="宋体" w:hAnsi="宋体"/>
          <w:color w:val="auto"/>
          <w:szCs w:val="21"/>
        </w:rPr>
        <w:t>个工作日内，乙方向甲方递交竣工结算报告及完整的结算资料，按照合同约定的合同价款调整内容，进行工程竣工结算，甲方收到乙方递交的竣工结算报告及结算资料六个月内完成审核（如乙方递交的资料不完整，相应时间顺延），如工程分部分项验收报告经甲方认可后超过</w:t>
      </w:r>
      <w:r>
        <w:rPr>
          <w:rFonts w:ascii="宋体" w:hAnsi="宋体"/>
          <w:color w:val="auto"/>
          <w:szCs w:val="21"/>
        </w:rPr>
        <w:t>30</w:t>
      </w:r>
      <w:r>
        <w:rPr>
          <w:rFonts w:hint="eastAsia" w:ascii="宋体" w:hAnsi="宋体"/>
          <w:color w:val="auto"/>
          <w:szCs w:val="21"/>
        </w:rPr>
        <w:t>个工作日内，乙方无正当理由不递交竣工结算报告及完整的结算资料，甲方有权单方面进行竣工结算并认可结算成果，作为乙方竣工结算价款。乙方按现场实际施工完成的工程量报送的结算金额必须真实准确，不得虚报、冒报。</w:t>
      </w:r>
    </w:p>
    <w:p>
      <w:pPr>
        <w:spacing w:before="93" w:beforeLines="30" w:after="93" w:afterLines="30" w:line="480" w:lineRule="exact"/>
        <w:ind w:left="103" w:leftChars="49" w:firstLine="315" w:firstLineChars="150"/>
        <w:rPr>
          <w:rFonts w:ascii="宋体" w:hAnsi="宋体"/>
          <w:color w:val="auto"/>
          <w:szCs w:val="21"/>
        </w:rPr>
      </w:pPr>
      <w:r>
        <w:rPr>
          <w:rFonts w:hint="eastAsia" w:ascii="宋体" w:hAnsi="宋体"/>
          <w:color w:val="auto"/>
          <w:szCs w:val="21"/>
        </w:rPr>
        <w:t>（三）乙方需按照甲方要求提供整套的分部分项验收与结算资料给甲方，如乙方提供的资料未按甲方要求，或不能满足甲方预审的，乙方需在3个日历天内能按甲方要求返工，重新整理资料，经甲方审核后必须达到第六条第一点规范的要求。若乙方最终提供的整套分部分项验收与结算资料仍不能达到甲方要求的或者拒绝按甲方要求提供分部分项验收与结算资料的，</w:t>
      </w:r>
      <w:r>
        <w:rPr>
          <w:rFonts w:hint="eastAsia" w:ascii="宋体" w:hAnsi="宋体"/>
          <w:color w:val="auto"/>
          <w:szCs w:val="21"/>
        </w:rPr>
        <w:t>甲方有权拒绝向乙方支付工程价款，</w:t>
      </w:r>
      <w:r>
        <w:rPr>
          <w:rFonts w:hint="eastAsia" w:ascii="宋体" w:hAnsi="宋体"/>
          <w:color w:val="auto"/>
          <w:szCs w:val="21"/>
        </w:rPr>
        <w:t>无需承担任何违约责任，</w:t>
      </w:r>
      <w:r>
        <w:rPr>
          <w:rFonts w:hint="eastAsia" w:ascii="宋体" w:hAnsi="宋体"/>
          <w:color w:val="auto"/>
          <w:szCs w:val="21"/>
        </w:rPr>
        <w:t xml:space="preserve">直到乙方提供的资料达到规范要求的标准为止。                                                                                                                                               </w:t>
      </w:r>
    </w:p>
    <w:p>
      <w:pPr>
        <w:spacing w:before="93" w:beforeLines="30" w:after="93" w:afterLines="30" w:line="400" w:lineRule="exact"/>
        <w:ind w:left="103" w:leftChars="49" w:firstLine="315" w:firstLineChars="150"/>
        <w:rPr>
          <w:rFonts w:ascii="宋体" w:hAnsi="宋体"/>
          <w:color w:val="auto"/>
          <w:szCs w:val="21"/>
        </w:rPr>
      </w:pPr>
      <w:r>
        <w:rPr>
          <w:rFonts w:hint="eastAsia" w:ascii="宋体" w:hAnsi="宋体"/>
          <w:color w:val="auto"/>
          <w:szCs w:val="21"/>
        </w:rPr>
        <w:t>乙方报送竣工结算资料的内容和要求如下：</w:t>
      </w:r>
    </w:p>
    <w:p>
      <w:pPr>
        <w:spacing w:before="93" w:beforeLines="30" w:after="93" w:afterLines="30" w:line="400" w:lineRule="exact"/>
        <w:ind w:left="103" w:leftChars="49" w:firstLine="315" w:firstLineChars="150"/>
        <w:rPr>
          <w:rFonts w:ascii="宋体" w:hAnsi="宋体"/>
          <w:color w:val="auto"/>
          <w:szCs w:val="21"/>
        </w:rPr>
      </w:pPr>
      <w:r>
        <w:rPr>
          <w:rFonts w:hint="eastAsia" w:ascii="宋体" w:hAnsi="宋体"/>
          <w:color w:val="auto"/>
          <w:szCs w:val="21"/>
        </w:rPr>
        <w:t>(1) 乙方在工程分部分项验收后，提交分部分项验收报告和资料，经甲方认可后在</w:t>
      </w:r>
      <w:r>
        <w:rPr>
          <w:rFonts w:hint="eastAsia" w:ascii="宋体" w:hAnsi="宋体"/>
          <w:color w:val="auto"/>
          <w:szCs w:val="21"/>
          <w:u w:val="single"/>
        </w:rPr>
        <w:t>30个</w:t>
      </w:r>
      <w:r>
        <w:rPr>
          <w:rFonts w:hint="eastAsia" w:ascii="宋体" w:hAnsi="宋体"/>
          <w:color w:val="auto"/>
          <w:szCs w:val="21"/>
        </w:rPr>
        <w:t>工作日内，按甲方要求向甲方递交完整的竣工结算报告及结算资料。</w:t>
      </w:r>
    </w:p>
    <w:p>
      <w:pPr>
        <w:spacing w:before="93" w:beforeLines="30" w:after="93" w:afterLines="30" w:line="400" w:lineRule="exact"/>
        <w:ind w:left="103" w:leftChars="49" w:firstLine="315" w:firstLineChars="150"/>
        <w:rPr>
          <w:rFonts w:ascii="宋体" w:hAnsi="宋体"/>
          <w:color w:val="auto"/>
          <w:szCs w:val="21"/>
        </w:rPr>
      </w:pPr>
      <w:r>
        <w:rPr>
          <w:rFonts w:hint="eastAsia" w:ascii="宋体" w:hAnsi="宋体"/>
          <w:color w:val="auto"/>
          <w:szCs w:val="21"/>
        </w:rPr>
        <w:t>（2）主要竣工资料由以下部分组成（包括但不限于）</w:t>
      </w:r>
    </w:p>
    <w:p>
      <w:pPr>
        <w:spacing w:before="93" w:beforeLines="30" w:after="93" w:afterLines="30" w:line="400" w:lineRule="exact"/>
        <w:ind w:left="103" w:leftChars="49" w:firstLine="315" w:firstLineChars="150"/>
        <w:rPr>
          <w:rFonts w:ascii="宋体" w:hAnsi="宋体"/>
          <w:color w:val="auto"/>
          <w:szCs w:val="21"/>
        </w:rPr>
      </w:pPr>
      <w:r>
        <w:rPr>
          <w:rFonts w:hint="eastAsia" w:ascii="宋体" w:hAnsi="宋体"/>
          <w:color w:val="auto"/>
          <w:szCs w:val="21"/>
        </w:rPr>
        <w:t>A）结算书</w:t>
      </w:r>
    </w:p>
    <w:p>
      <w:pPr>
        <w:spacing w:before="93" w:beforeLines="30" w:after="93" w:afterLines="30" w:line="400" w:lineRule="exact"/>
        <w:ind w:left="103" w:leftChars="49" w:firstLine="315" w:firstLineChars="150"/>
        <w:rPr>
          <w:rFonts w:ascii="宋体" w:hAnsi="宋体"/>
          <w:color w:val="auto"/>
          <w:szCs w:val="21"/>
        </w:rPr>
      </w:pPr>
      <w:r>
        <w:rPr>
          <w:rFonts w:hint="eastAsia" w:ascii="宋体" w:hAnsi="宋体"/>
          <w:color w:val="auto"/>
          <w:szCs w:val="21"/>
        </w:rPr>
        <w:t>①封面：必须有项目名称、项目特征、经济指标、编制人员签名及资格证编号和联系电话、施工单位负责人签名、施工单位名称及公章、编制日期及送审日期。</w:t>
      </w:r>
    </w:p>
    <w:p>
      <w:pPr>
        <w:spacing w:before="93" w:beforeLines="30" w:after="93" w:afterLines="30" w:line="400" w:lineRule="exact"/>
        <w:ind w:left="103" w:leftChars="49" w:firstLine="315" w:firstLineChars="150"/>
        <w:rPr>
          <w:rFonts w:ascii="宋体" w:hAnsi="宋体"/>
          <w:color w:val="auto"/>
          <w:szCs w:val="21"/>
        </w:rPr>
      </w:pPr>
      <w:r>
        <w:rPr>
          <w:rFonts w:hint="eastAsia" w:ascii="宋体" w:hAnsi="宋体"/>
          <w:color w:val="auto"/>
          <w:szCs w:val="21"/>
        </w:rPr>
        <w:t>②编制说明</w:t>
      </w:r>
    </w:p>
    <w:p>
      <w:pPr>
        <w:spacing w:before="93" w:beforeLines="30" w:after="93" w:afterLines="30" w:line="400" w:lineRule="exact"/>
        <w:ind w:left="103" w:leftChars="49" w:firstLine="315" w:firstLineChars="150"/>
        <w:rPr>
          <w:rFonts w:ascii="宋体" w:hAnsi="宋体"/>
          <w:color w:val="auto"/>
          <w:szCs w:val="21"/>
        </w:rPr>
      </w:pPr>
      <w:r>
        <w:rPr>
          <w:rFonts w:hint="eastAsia" w:ascii="宋体" w:hAnsi="宋体"/>
          <w:color w:val="auto"/>
          <w:szCs w:val="21"/>
        </w:rPr>
        <w:t>③汇总表</w:t>
      </w:r>
    </w:p>
    <w:p>
      <w:pPr>
        <w:spacing w:before="93" w:beforeLines="30" w:after="93" w:afterLines="30" w:line="400" w:lineRule="exact"/>
        <w:ind w:left="103" w:leftChars="49" w:firstLine="315" w:firstLineChars="150"/>
        <w:rPr>
          <w:rFonts w:ascii="宋体" w:hAnsi="宋体"/>
          <w:color w:val="auto"/>
          <w:szCs w:val="21"/>
        </w:rPr>
      </w:pPr>
      <w:r>
        <w:rPr>
          <w:rFonts w:hint="eastAsia" w:ascii="宋体" w:hAnsi="宋体"/>
          <w:color w:val="auto"/>
          <w:szCs w:val="21"/>
        </w:rPr>
        <w:t>④结算清单</w:t>
      </w:r>
    </w:p>
    <w:p>
      <w:pPr>
        <w:spacing w:before="93" w:beforeLines="30" w:after="93" w:afterLines="30" w:line="400" w:lineRule="exact"/>
        <w:ind w:left="103" w:leftChars="49" w:firstLine="315" w:firstLineChars="150"/>
        <w:rPr>
          <w:rFonts w:ascii="宋体" w:hAnsi="宋体"/>
          <w:color w:val="auto"/>
          <w:szCs w:val="21"/>
        </w:rPr>
      </w:pPr>
      <w:r>
        <w:rPr>
          <w:rFonts w:hint="eastAsia" w:ascii="宋体" w:hAnsi="宋体"/>
          <w:color w:val="auto"/>
          <w:szCs w:val="21"/>
        </w:rPr>
        <w:t>B)工程量计算式</w:t>
      </w:r>
    </w:p>
    <w:p>
      <w:pPr>
        <w:spacing w:before="93" w:beforeLines="30" w:after="93" w:afterLines="30" w:line="400" w:lineRule="exact"/>
        <w:ind w:left="103" w:leftChars="49" w:firstLine="315" w:firstLineChars="150"/>
        <w:rPr>
          <w:rFonts w:ascii="宋体" w:hAnsi="宋体"/>
          <w:color w:val="auto"/>
          <w:szCs w:val="21"/>
        </w:rPr>
      </w:pPr>
      <w:r>
        <w:rPr>
          <w:rFonts w:hint="eastAsia" w:ascii="宋体" w:hAnsi="宋体"/>
          <w:color w:val="auto"/>
          <w:szCs w:val="21"/>
        </w:rPr>
        <w:t>C)有效的现场签证单（原件）</w:t>
      </w:r>
    </w:p>
    <w:p>
      <w:pPr>
        <w:spacing w:before="93" w:beforeLines="30" w:after="93" w:afterLines="30" w:line="400" w:lineRule="exact"/>
        <w:ind w:left="103" w:leftChars="49" w:firstLine="315" w:firstLineChars="150"/>
        <w:rPr>
          <w:rFonts w:ascii="宋体" w:hAnsi="宋体"/>
          <w:color w:val="auto"/>
          <w:szCs w:val="21"/>
        </w:rPr>
      </w:pPr>
      <w:r>
        <w:rPr>
          <w:rFonts w:hint="eastAsia" w:ascii="宋体" w:hAnsi="宋体"/>
          <w:color w:val="auto"/>
          <w:szCs w:val="21"/>
        </w:rPr>
        <w:t>D)有效的认质认价函</w:t>
      </w:r>
    </w:p>
    <w:p>
      <w:pPr>
        <w:spacing w:before="93" w:beforeLines="30" w:after="93" w:afterLines="30" w:line="400" w:lineRule="exact"/>
        <w:ind w:left="103" w:leftChars="49" w:firstLine="315" w:firstLineChars="150"/>
        <w:rPr>
          <w:rFonts w:ascii="宋体" w:hAnsi="宋体"/>
          <w:color w:val="auto"/>
          <w:szCs w:val="21"/>
        </w:rPr>
      </w:pPr>
      <w:r>
        <w:rPr>
          <w:rFonts w:hint="eastAsia" w:ascii="宋体" w:hAnsi="宋体"/>
          <w:color w:val="auto"/>
          <w:szCs w:val="21"/>
        </w:rPr>
        <w:t>E)竣工资料：开、骏工报告；质量等级认证；施工合同及补充协议；经甲方及监理确认的竣工图。</w:t>
      </w:r>
    </w:p>
    <w:p>
      <w:pPr>
        <w:spacing w:before="93" w:beforeLines="30" w:after="93" w:afterLines="30" w:line="400" w:lineRule="exact"/>
        <w:ind w:left="103" w:leftChars="49" w:firstLine="315" w:firstLineChars="150"/>
        <w:rPr>
          <w:rFonts w:ascii="宋体" w:hAnsi="宋体"/>
          <w:color w:val="auto"/>
          <w:szCs w:val="21"/>
        </w:rPr>
      </w:pPr>
      <w:r>
        <w:rPr>
          <w:rFonts w:hint="eastAsia" w:ascii="宋体" w:hAnsi="宋体"/>
          <w:color w:val="auto"/>
          <w:szCs w:val="21"/>
        </w:rPr>
        <w:t>F）按广东省统表以及满足东莞市档案馆竣工资料目录所要求的标准完成竣工结算资料的准备。</w:t>
      </w:r>
    </w:p>
    <w:p>
      <w:pPr>
        <w:spacing w:before="93" w:beforeLines="30" w:after="93" w:afterLines="30" w:line="400" w:lineRule="exact"/>
        <w:ind w:left="103" w:leftChars="49" w:firstLine="315" w:firstLineChars="150"/>
        <w:rPr>
          <w:rFonts w:ascii="宋体" w:hAnsi="宋体"/>
          <w:color w:val="auto"/>
          <w:szCs w:val="21"/>
        </w:rPr>
      </w:pPr>
      <w:r>
        <w:rPr>
          <w:rFonts w:hint="eastAsia" w:ascii="宋体" w:hAnsi="宋体"/>
          <w:color w:val="auto"/>
          <w:szCs w:val="21"/>
        </w:rPr>
        <w:t>（3）不符合以上要求的结算资料，视为不合格，乙方需无条件返工，且甲方有权拒绝办理工程结算。</w:t>
      </w:r>
    </w:p>
    <w:p>
      <w:pPr>
        <w:spacing w:before="93" w:beforeLines="30" w:after="93" w:afterLines="30" w:line="400" w:lineRule="exact"/>
        <w:ind w:left="103" w:leftChars="49" w:firstLine="315" w:firstLineChars="150"/>
        <w:rPr>
          <w:rFonts w:ascii="宋体" w:hAnsi="宋体"/>
          <w:color w:val="auto"/>
          <w:szCs w:val="21"/>
        </w:rPr>
      </w:pPr>
      <w:r>
        <w:rPr>
          <w:rFonts w:hint="eastAsia" w:ascii="宋体" w:hAnsi="宋体"/>
          <w:color w:val="auto"/>
          <w:szCs w:val="21"/>
        </w:rPr>
        <w:t>（四）乙方应在甲方项目部发出的书面变更（或签证）指令3天内向甲方成本部提交工程变更（或签证）申请单，预估变更（或签证）费用，变更（或签证）累计费用超出暂定合同价5%时，乙方应及时向甲方发出成本预警，征得甲方同意后方可继续施工。乙方未能及时发出成本预警造成超出本合同限额的变更（或签证）费用，甲方有权不予结算。</w:t>
      </w:r>
    </w:p>
    <w:p>
      <w:pPr>
        <w:spacing w:line="480" w:lineRule="exact"/>
        <w:rPr>
          <w:rFonts w:ascii="宋体" w:hAnsi="宋体"/>
          <w:b/>
          <w:color w:val="auto"/>
          <w:szCs w:val="21"/>
        </w:rPr>
      </w:pPr>
      <w:r>
        <w:rPr>
          <w:rFonts w:hint="eastAsia" w:ascii="宋体" w:hAnsi="宋体"/>
          <w:b/>
          <w:color w:val="auto"/>
          <w:szCs w:val="21"/>
        </w:rPr>
        <w:t>第七条  工程质量、安全及验收</w:t>
      </w:r>
    </w:p>
    <w:p>
      <w:pPr>
        <w:spacing w:line="480" w:lineRule="exact"/>
        <w:ind w:firstLine="210" w:firstLineChars="100"/>
        <w:outlineLvl w:val="0"/>
        <w:rPr>
          <w:rFonts w:ascii="宋体" w:hAnsi="宋体"/>
          <w:bCs/>
          <w:color w:val="auto"/>
          <w:szCs w:val="21"/>
        </w:rPr>
      </w:pPr>
      <w:r>
        <w:rPr>
          <w:rFonts w:hint="eastAsia" w:ascii="宋体" w:hAnsi="宋体"/>
          <w:bCs/>
          <w:color w:val="auto"/>
          <w:szCs w:val="21"/>
        </w:rPr>
        <w:t>（一）工程质量与安全</w:t>
      </w:r>
    </w:p>
    <w:p>
      <w:pPr>
        <w:spacing w:line="520" w:lineRule="exact"/>
        <w:ind w:firstLine="420" w:firstLineChars="200"/>
        <w:rPr>
          <w:rFonts w:ascii="宋体" w:hAnsi="宋体"/>
          <w:bCs/>
          <w:color w:val="auto"/>
          <w:szCs w:val="21"/>
        </w:rPr>
      </w:pPr>
      <w:r>
        <w:rPr>
          <w:rFonts w:hint="eastAsia" w:ascii="宋体" w:hAnsi="宋体"/>
          <w:bCs/>
          <w:color w:val="auto"/>
          <w:szCs w:val="21"/>
        </w:rPr>
        <w:t>1、质量标准要求详见第三条。</w:t>
      </w:r>
    </w:p>
    <w:p>
      <w:pPr>
        <w:spacing w:line="480" w:lineRule="exact"/>
        <w:ind w:firstLine="420" w:firstLineChars="200"/>
        <w:rPr>
          <w:rFonts w:ascii="宋体" w:hAnsi="宋体"/>
          <w:bCs/>
          <w:color w:val="auto"/>
          <w:szCs w:val="21"/>
        </w:rPr>
      </w:pPr>
      <w:r>
        <w:rPr>
          <w:rFonts w:hint="eastAsia" w:ascii="宋体" w:hAnsi="宋体"/>
          <w:bCs/>
          <w:color w:val="auto"/>
          <w:szCs w:val="21"/>
        </w:rPr>
        <w:t>2、甲方有权随时监督和检验工程质量及施工进度。如甲方发现乙方施工人员素质欠缺及工程质量不达标的，有权通知乙方到场，经甲乙双方确认后，乙方必须更换班组重新施工达到工程验收标准。如乙方拒绝重新更换班组进行施工或者重新施工后工程质量仍不达标的，甲方有权解除合同，要求乙方在3个工作日内全面退场，仅按乙方已完成合格部分的工程量进行结算，因质量不合格造成的材料和返工损失及其他损失由乙方承担，且乙方需向甲方支付本合同总价20%的违约金。</w:t>
      </w:r>
    </w:p>
    <w:p>
      <w:pPr>
        <w:spacing w:line="480" w:lineRule="exact"/>
        <w:ind w:firstLine="420" w:firstLineChars="200"/>
        <w:rPr>
          <w:rFonts w:hint="eastAsia" w:ascii="宋体" w:hAnsi="宋体"/>
          <w:bCs/>
          <w:color w:val="auto"/>
          <w:sz w:val="22"/>
          <w:szCs w:val="21"/>
        </w:rPr>
      </w:pPr>
      <w:r>
        <w:rPr>
          <w:rFonts w:hint="eastAsia" w:ascii="宋体" w:hAnsi="宋体"/>
          <w:bCs/>
          <w:color w:val="auto"/>
          <w:szCs w:val="21"/>
        </w:rPr>
        <w:t>3、</w:t>
      </w:r>
      <w:r>
        <w:rPr>
          <w:rFonts w:hint="eastAsia" w:ascii="宋体" w:hAnsi="宋体"/>
          <w:bCs/>
          <w:color w:val="auto"/>
          <w:sz w:val="22"/>
          <w:szCs w:val="21"/>
        </w:rPr>
        <w:t>乙方在提请甲方检查、验收（包括工序、隐蔽工程、分项工程、竣工工程）前，应先自检，自检合格，测量、记录有关数据和文字并登记在质量技术记录表上后，凭表书面请求甲方检查、验收，甲方应在接到申请后</w:t>
      </w:r>
      <w:r>
        <w:rPr>
          <w:rFonts w:hint="eastAsia" w:ascii="宋体" w:hAnsi="宋体"/>
          <w:bCs/>
          <w:color w:val="auto"/>
          <w:sz w:val="22"/>
          <w:szCs w:val="21"/>
          <w:u w:val="single"/>
        </w:rPr>
        <w:t>48</w:t>
      </w:r>
      <w:r>
        <w:rPr>
          <w:rFonts w:hint="eastAsia" w:ascii="宋体" w:hAnsi="宋体"/>
          <w:bCs/>
          <w:color w:val="auto"/>
          <w:sz w:val="22"/>
          <w:szCs w:val="21"/>
        </w:rPr>
        <w:t>小时内组织检查验收，未经验收通过，乙方不得进入下一工序或隐蔽。验收时，第一次验收不合格，要求乙方限期整改完毕报甲方验收，若乙方未能在限期内整改，或虽经整改但经甲方第二次验收仍不合格的，甲方有权解除本合同，已完成的合格工程按75%结算，余款作质量违约金，并限期办理有关退场手续</w:t>
      </w:r>
      <w:r>
        <w:rPr>
          <w:rFonts w:hint="eastAsia" w:ascii="宋体" w:hAnsi="宋体"/>
          <w:bCs/>
          <w:color w:val="auto"/>
          <w:szCs w:val="21"/>
        </w:rPr>
        <w:t>，造成甲方损失的，乙方应承担损失赔偿责任</w:t>
      </w:r>
      <w:r>
        <w:rPr>
          <w:rFonts w:hint="eastAsia" w:ascii="宋体" w:hAnsi="宋体"/>
          <w:bCs/>
          <w:color w:val="auto"/>
          <w:sz w:val="22"/>
          <w:szCs w:val="21"/>
        </w:rPr>
        <w:t>。</w:t>
      </w:r>
    </w:p>
    <w:p>
      <w:pPr>
        <w:spacing w:line="480" w:lineRule="exact"/>
        <w:ind w:firstLine="440" w:firstLineChars="200"/>
        <w:rPr>
          <w:rFonts w:ascii="宋体" w:hAnsi="宋体"/>
          <w:color w:val="auto"/>
          <w:sz w:val="22"/>
          <w:szCs w:val="22"/>
        </w:rPr>
      </w:pPr>
      <w:r>
        <w:rPr>
          <w:rFonts w:hint="eastAsia" w:ascii="宋体" w:hAnsi="宋体"/>
          <w:color w:val="auto"/>
          <w:sz w:val="22"/>
          <w:szCs w:val="22"/>
        </w:rPr>
        <w:t>4、合同双方当事人应严格遵守国家、省有关工程质量和施工安全的法律法规、标准与规范等规定，认真履行合同约定的工程质量和施工安全的职责和义务。</w:t>
      </w:r>
    </w:p>
    <w:p>
      <w:pPr>
        <w:spacing w:line="480" w:lineRule="exact"/>
        <w:ind w:firstLine="440" w:firstLineChars="200"/>
        <w:rPr>
          <w:rFonts w:ascii="宋体" w:hAnsi="宋体"/>
          <w:color w:val="auto"/>
          <w:sz w:val="22"/>
          <w:szCs w:val="22"/>
        </w:rPr>
      </w:pPr>
      <w:r>
        <w:rPr>
          <w:rFonts w:hint="eastAsia" w:ascii="宋体" w:hAnsi="宋体"/>
          <w:color w:val="auto"/>
          <w:sz w:val="22"/>
          <w:szCs w:val="22"/>
        </w:rPr>
        <w:t>5、甲方在领取施工许可证或者开工报告之前，应按照国家有关规定办理合同工程质量和施工安全监督手续。乙方应在施工场地设置专门的工程质量和施工安全管理机构，配备专职管理人员，建立完善的管理制度。</w:t>
      </w:r>
    </w:p>
    <w:p>
      <w:pPr>
        <w:spacing w:line="480" w:lineRule="exact"/>
        <w:ind w:firstLine="440" w:firstLineChars="200"/>
        <w:rPr>
          <w:rFonts w:ascii="宋体" w:hAnsi="宋体"/>
          <w:color w:val="auto"/>
          <w:sz w:val="22"/>
          <w:szCs w:val="22"/>
        </w:rPr>
      </w:pPr>
      <w:r>
        <w:rPr>
          <w:rFonts w:hint="eastAsia" w:ascii="宋体" w:hAnsi="宋体"/>
          <w:color w:val="auto"/>
          <w:sz w:val="22"/>
          <w:szCs w:val="22"/>
        </w:rPr>
        <w:t>6、甲方不得以任何理由，要求乙方在施工作业中违反法律法规、工程建设强制性标准，以及工程质量和施工安全标准，降低合同工程质量。乙方应加强对施工作业人员的工程质量和施工安全教育培训，定期考核施工作业人员的劳动技能，加强工程质量和施工安全管理。</w:t>
      </w:r>
    </w:p>
    <w:p>
      <w:pPr>
        <w:tabs>
          <w:tab w:val="left" w:pos="900"/>
        </w:tabs>
        <w:snapToGrid w:val="0"/>
        <w:spacing w:line="480" w:lineRule="exact"/>
        <w:ind w:firstLine="440" w:firstLineChars="200"/>
        <w:rPr>
          <w:rFonts w:ascii="宋体" w:hAnsi="宋体"/>
          <w:color w:val="auto"/>
          <w:sz w:val="22"/>
          <w:szCs w:val="22"/>
        </w:rPr>
      </w:pPr>
      <w:r>
        <w:rPr>
          <w:rFonts w:hint="eastAsia" w:ascii="宋体" w:hAnsi="宋体"/>
          <w:color w:val="auto"/>
          <w:sz w:val="22"/>
          <w:szCs w:val="22"/>
        </w:rPr>
        <w:t>7、乙方应对合同工程质量和施工安全负责，严格执行国家、省有关工程质量和施工安全的操作规程及管理要求，按照施工设计图纸和施工技术标准施工，不得偷工减料，不得擅自修改施工设计图纸，确保合同工程质量和施工安全。</w:t>
      </w:r>
    </w:p>
    <w:p>
      <w:pPr>
        <w:tabs>
          <w:tab w:val="left" w:pos="900"/>
        </w:tabs>
        <w:snapToGrid w:val="0"/>
        <w:spacing w:line="480" w:lineRule="exact"/>
        <w:ind w:firstLine="440" w:firstLineChars="200"/>
        <w:rPr>
          <w:rFonts w:ascii="宋体" w:hAnsi="宋体"/>
          <w:color w:val="auto"/>
          <w:sz w:val="22"/>
          <w:szCs w:val="22"/>
        </w:rPr>
      </w:pPr>
      <w:r>
        <w:rPr>
          <w:rFonts w:hint="eastAsia" w:ascii="宋体" w:hAnsi="宋体"/>
          <w:color w:val="auto"/>
          <w:sz w:val="22"/>
          <w:szCs w:val="22"/>
        </w:rPr>
        <w:t>8、甲方应组织乙方和有关单位进行安全检查，授权监理工程师按合同约定的安全文明施工内容监督、检查乙方实施安全文明施工。</w:t>
      </w:r>
    </w:p>
    <w:p>
      <w:pPr>
        <w:tabs>
          <w:tab w:val="left" w:pos="900"/>
        </w:tabs>
        <w:snapToGrid w:val="0"/>
        <w:spacing w:line="480" w:lineRule="exact"/>
        <w:ind w:firstLine="440" w:firstLineChars="200"/>
        <w:rPr>
          <w:rFonts w:ascii="宋体" w:hAnsi="宋体"/>
          <w:color w:val="auto"/>
          <w:sz w:val="22"/>
          <w:szCs w:val="22"/>
        </w:rPr>
      </w:pPr>
      <w:r>
        <w:rPr>
          <w:rFonts w:hint="eastAsia" w:ascii="宋体" w:hAnsi="宋体"/>
          <w:color w:val="auto"/>
          <w:sz w:val="22"/>
          <w:szCs w:val="22"/>
        </w:rPr>
        <w:t>9、乙方应及时执行监理工程师发出的安全文明施工的工作指令，并按合同约定的期限和安全文明施工内容编制安全文明施工措施计划，提交给监理工程师并由其报甲方批准后实施</w:t>
      </w:r>
    </w:p>
    <w:p>
      <w:pPr>
        <w:tabs>
          <w:tab w:val="left" w:pos="900"/>
        </w:tabs>
        <w:snapToGrid w:val="0"/>
        <w:spacing w:line="480" w:lineRule="exact"/>
        <w:ind w:firstLine="440" w:firstLineChars="200"/>
        <w:rPr>
          <w:rFonts w:ascii="宋体" w:hAnsi="宋体"/>
          <w:color w:val="auto"/>
          <w:sz w:val="22"/>
          <w:szCs w:val="22"/>
        </w:rPr>
      </w:pPr>
      <w:r>
        <w:rPr>
          <w:rFonts w:hint="eastAsia" w:ascii="宋体" w:hAnsi="宋体"/>
          <w:color w:val="auto"/>
          <w:sz w:val="22"/>
          <w:szCs w:val="22"/>
        </w:rPr>
        <w:t>10、在合同工程实施、完成及保修期间，乙方承担下列责任：</w:t>
      </w:r>
    </w:p>
    <w:p>
      <w:pPr>
        <w:tabs>
          <w:tab w:val="left" w:pos="900"/>
        </w:tabs>
        <w:snapToGrid w:val="0"/>
        <w:spacing w:line="480" w:lineRule="exact"/>
        <w:ind w:firstLine="440" w:firstLineChars="200"/>
        <w:rPr>
          <w:rFonts w:ascii="宋体" w:hAnsi="宋体"/>
          <w:color w:val="auto"/>
          <w:sz w:val="22"/>
          <w:szCs w:val="22"/>
        </w:rPr>
      </w:pPr>
      <w:r>
        <w:rPr>
          <w:rFonts w:hint="eastAsia" w:ascii="宋体" w:hAnsi="宋体"/>
          <w:color w:val="auto"/>
          <w:sz w:val="22"/>
          <w:szCs w:val="22"/>
        </w:rPr>
        <w:t>（1）乙方应严格按照国家有关安全文明施工的标准与规范制定安全文明施工操作规程，配备必要的安全生产和劳动保护设施，加强对施工作业人员的施工安全教育培训，对他们的安全负责。</w:t>
      </w:r>
    </w:p>
    <w:p>
      <w:pPr>
        <w:tabs>
          <w:tab w:val="left" w:pos="900"/>
        </w:tabs>
        <w:snapToGrid w:val="0"/>
        <w:spacing w:line="480" w:lineRule="exact"/>
        <w:ind w:firstLine="440" w:firstLineChars="200"/>
        <w:rPr>
          <w:rFonts w:ascii="宋体" w:hAnsi="宋体"/>
          <w:color w:val="auto"/>
          <w:sz w:val="22"/>
          <w:szCs w:val="22"/>
        </w:rPr>
      </w:pPr>
      <w:r>
        <w:rPr>
          <w:rFonts w:hint="eastAsia" w:ascii="宋体" w:hAnsi="宋体"/>
          <w:color w:val="auto"/>
          <w:sz w:val="22"/>
          <w:szCs w:val="22"/>
        </w:rPr>
        <w:t>（2）乙方应对合同工程的安全文明施工负责，采取有效的安全措施消除安全事故隐患，并接受和配合依法实施的监督检查。</w:t>
      </w:r>
    </w:p>
    <w:p>
      <w:pPr>
        <w:tabs>
          <w:tab w:val="left" w:pos="900"/>
        </w:tabs>
        <w:snapToGrid w:val="0"/>
        <w:spacing w:line="480" w:lineRule="exact"/>
        <w:ind w:firstLine="440" w:firstLineChars="200"/>
        <w:rPr>
          <w:rFonts w:ascii="宋体" w:hAnsi="宋体"/>
          <w:color w:val="auto"/>
          <w:sz w:val="22"/>
          <w:szCs w:val="22"/>
        </w:rPr>
      </w:pPr>
      <w:r>
        <w:rPr>
          <w:rFonts w:hint="eastAsia" w:ascii="宋体" w:hAnsi="宋体"/>
          <w:color w:val="auto"/>
          <w:sz w:val="22"/>
          <w:szCs w:val="22"/>
        </w:rPr>
        <w:t>（3）乙方应加强施工作业安全管理，特别应加强经监理工程师同意并由其报甲方批准的输送电线路工程，使用易燃、易爆材料、火工器材、有毒与腐蚀性材料等危险品工程，以及爆破作业和地下工程施工等危险作业的安全管理，尽量避免人员伤亡和财产损失。</w:t>
      </w:r>
    </w:p>
    <w:p>
      <w:pPr>
        <w:tabs>
          <w:tab w:val="left" w:pos="900"/>
        </w:tabs>
        <w:snapToGrid w:val="0"/>
        <w:spacing w:line="480" w:lineRule="exact"/>
        <w:ind w:firstLine="440" w:firstLineChars="200"/>
        <w:rPr>
          <w:rFonts w:ascii="宋体" w:hAnsi="宋体"/>
          <w:color w:val="auto"/>
          <w:sz w:val="22"/>
          <w:szCs w:val="22"/>
        </w:rPr>
      </w:pPr>
      <w:r>
        <w:rPr>
          <w:rFonts w:hint="eastAsia" w:ascii="宋体" w:hAnsi="宋体"/>
          <w:color w:val="auto"/>
          <w:sz w:val="22"/>
          <w:szCs w:val="22"/>
        </w:rPr>
        <w:t>（4）乙方应按监理工程师的指令制定应对灾害的紧急预案，并按预案做好安全检查，配置必要的救助物资和器材，切实保护好有关人员的人身和财产安全。</w:t>
      </w:r>
    </w:p>
    <w:p>
      <w:pPr>
        <w:tabs>
          <w:tab w:val="left" w:pos="900"/>
        </w:tabs>
        <w:snapToGrid w:val="0"/>
        <w:spacing w:line="480" w:lineRule="exact"/>
        <w:ind w:firstLine="440" w:firstLineChars="200"/>
        <w:rPr>
          <w:rFonts w:ascii="宋体" w:hAnsi="宋体"/>
          <w:color w:val="auto"/>
          <w:sz w:val="22"/>
          <w:szCs w:val="22"/>
        </w:rPr>
      </w:pPr>
      <w:r>
        <w:rPr>
          <w:rFonts w:hint="eastAsia" w:ascii="宋体" w:hAnsi="宋体"/>
          <w:color w:val="auto"/>
          <w:sz w:val="22"/>
          <w:szCs w:val="22"/>
        </w:rPr>
        <w:t>（5）乙方违反本条规定或由于乙方原因造成安全事故的，由乙方承担责任，由此增加的费用和延误的工期由乙方承担；但由于甲方原因造成安全事故的，由甲方承担责任。</w:t>
      </w:r>
    </w:p>
    <w:p>
      <w:pPr>
        <w:spacing w:line="480" w:lineRule="exact"/>
        <w:ind w:firstLine="440" w:firstLineChars="200"/>
        <w:rPr>
          <w:rFonts w:ascii="宋体" w:hAnsi="宋体"/>
          <w:bCs/>
          <w:color w:val="auto"/>
          <w:sz w:val="22"/>
          <w:szCs w:val="21"/>
          <w:u w:val="single"/>
        </w:rPr>
      </w:pPr>
      <w:r>
        <w:rPr>
          <w:rFonts w:hint="eastAsia" w:ascii="宋体" w:hAnsi="宋体"/>
          <w:color w:val="auto"/>
          <w:sz w:val="22"/>
          <w:szCs w:val="22"/>
        </w:rPr>
        <w:t>（6）由于乙方原因在施工场地内及其毗邻造成的第三者人身伤亡和财产损失，由乙方负责赔偿。</w:t>
      </w:r>
    </w:p>
    <w:p>
      <w:pPr>
        <w:tabs>
          <w:tab w:val="left" w:pos="900"/>
        </w:tabs>
        <w:spacing w:line="480" w:lineRule="exact"/>
        <w:ind w:firstLine="440" w:firstLineChars="200"/>
        <w:rPr>
          <w:rFonts w:hint="eastAsia"/>
          <w:color w:val="auto"/>
        </w:rPr>
      </w:pPr>
      <w:r>
        <w:rPr>
          <w:rFonts w:hint="eastAsia" w:ascii="宋体" w:hAnsi="宋体"/>
          <w:color w:val="auto"/>
          <w:sz w:val="22"/>
          <w:szCs w:val="22"/>
        </w:rPr>
        <w:t>（7）乙方工作人员在施工现场应穿戴有乙方标志的工作服或工作证。乙方安排到甲方施工的人员（即乙方人员）必须为与乙方签署劳动合同的人员。</w:t>
      </w:r>
    </w:p>
    <w:p>
      <w:pPr>
        <w:spacing w:line="480" w:lineRule="exact"/>
        <w:ind w:firstLine="420" w:firstLineChars="200"/>
        <w:rPr>
          <w:rFonts w:ascii="宋体" w:hAnsi="宋体"/>
          <w:bCs/>
          <w:color w:val="auto"/>
          <w:szCs w:val="21"/>
        </w:rPr>
      </w:pPr>
      <w:r>
        <w:rPr>
          <w:rFonts w:hint="eastAsia" w:ascii="宋体" w:hAnsi="宋体"/>
          <w:bCs/>
          <w:color w:val="auto"/>
          <w:szCs w:val="21"/>
        </w:rPr>
        <w:t>（二）验收</w:t>
      </w:r>
    </w:p>
    <w:p>
      <w:pPr>
        <w:spacing w:line="480" w:lineRule="exact"/>
        <w:ind w:firstLine="420" w:firstLineChars="200"/>
        <w:rPr>
          <w:rFonts w:ascii="宋体" w:hAnsi="宋体"/>
          <w:bCs/>
          <w:color w:val="auto"/>
          <w:szCs w:val="21"/>
        </w:rPr>
      </w:pPr>
      <w:r>
        <w:rPr>
          <w:rFonts w:hint="eastAsia" w:ascii="宋体" w:hAnsi="宋体"/>
          <w:bCs/>
          <w:color w:val="auto"/>
          <w:szCs w:val="21"/>
        </w:rPr>
        <w:t>1、验收的依据和标准：以甲乙双方确认的施工图纸及说明、施工技术文件，有关设计变更和技术交底及会议纪要，</w:t>
      </w:r>
      <w:r>
        <w:rPr>
          <w:rFonts w:ascii="宋体" w:hAnsi="宋体"/>
          <w:bCs/>
          <w:color w:val="auto"/>
          <w:szCs w:val="21"/>
        </w:rPr>
        <w:t>质量标准的评定以</w:t>
      </w:r>
      <w:r>
        <w:rPr>
          <w:rFonts w:hint="eastAsia" w:ascii="宋体" w:hAnsi="宋体"/>
          <w:bCs/>
          <w:color w:val="auto"/>
          <w:szCs w:val="21"/>
        </w:rPr>
        <w:t>中华人民共和国现行国家标准、国家工程质量验收标准以及符合东莞市相关主管部门的规定</w:t>
      </w:r>
      <w:r>
        <w:rPr>
          <w:rFonts w:ascii="宋体" w:hAnsi="宋体"/>
          <w:bCs/>
          <w:color w:val="auto"/>
          <w:szCs w:val="21"/>
        </w:rPr>
        <w:t>为依据</w:t>
      </w:r>
      <w:r>
        <w:rPr>
          <w:rFonts w:hint="eastAsia" w:ascii="宋体" w:hAnsi="宋体"/>
          <w:bCs/>
          <w:color w:val="auto"/>
          <w:szCs w:val="21"/>
        </w:rPr>
        <w:t>。</w:t>
      </w:r>
    </w:p>
    <w:p>
      <w:pPr>
        <w:spacing w:line="480" w:lineRule="exact"/>
        <w:ind w:firstLine="420" w:firstLineChars="200"/>
        <w:rPr>
          <w:rFonts w:ascii="宋体" w:hAnsi="宋体"/>
          <w:bCs/>
          <w:color w:val="auto"/>
          <w:szCs w:val="21"/>
        </w:rPr>
      </w:pPr>
      <w:r>
        <w:rPr>
          <w:rFonts w:hint="eastAsia" w:ascii="宋体" w:hAnsi="宋体"/>
          <w:bCs/>
          <w:color w:val="auto"/>
          <w:szCs w:val="21"/>
        </w:rPr>
        <w:t>2、验收方式：根据国家有关施工验收规范及甲方提出的相关技术指标要求，乙方提交工程验收资料，并向甲方提出验收申请，由建设单位按本合同约定规范规定组织相关单位验收。</w:t>
      </w:r>
    </w:p>
    <w:p>
      <w:pPr>
        <w:spacing w:line="480" w:lineRule="exact"/>
        <w:ind w:firstLine="420" w:firstLineChars="200"/>
        <w:rPr>
          <w:rFonts w:ascii="宋体" w:hAnsi="宋体"/>
          <w:bCs/>
          <w:color w:val="auto"/>
          <w:szCs w:val="21"/>
        </w:rPr>
      </w:pPr>
      <w:r>
        <w:rPr>
          <w:rFonts w:hint="eastAsia" w:ascii="宋体" w:hAnsi="宋体"/>
          <w:bCs/>
          <w:color w:val="auto"/>
          <w:szCs w:val="21"/>
        </w:rPr>
        <w:t>3、工程具备分部分项验收条件，乙方按国家工程分部分项验收有关规定，提前15天向甲方提供完整竣工资料、分部分项验收报告及工程质量保修书。乙方认为符合验收条件后组织、甲方初步验收。</w:t>
      </w:r>
    </w:p>
    <w:p>
      <w:pPr>
        <w:spacing w:line="520" w:lineRule="exact"/>
        <w:ind w:firstLine="480"/>
        <w:rPr>
          <w:bCs/>
          <w:color w:val="auto"/>
          <w:szCs w:val="21"/>
        </w:rPr>
      </w:pPr>
      <w:r>
        <w:rPr>
          <w:rFonts w:hint="eastAsia"/>
          <w:bCs/>
          <w:color w:val="auto"/>
          <w:szCs w:val="21"/>
        </w:rPr>
        <w:t>4、初验合格后，甲方与建设方联系，确定验收日期，组织建设方、甲方、乙方参加的</w:t>
      </w:r>
      <w:r>
        <w:rPr>
          <w:rFonts w:hint="eastAsia" w:ascii="宋体" w:hAnsi="宋体"/>
          <w:bCs/>
          <w:color w:val="auto"/>
          <w:szCs w:val="21"/>
        </w:rPr>
        <w:t>分部分项</w:t>
      </w:r>
      <w:r>
        <w:rPr>
          <w:rFonts w:hint="eastAsia"/>
          <w:bCs/>
          <w:color w:val="auto"/>
          <w:szCs w:val="21"/>
        </w:rPr>
        <w:t>验收。甲方应在</w:t>
      </w:r>
      <w:r>
        <w:rPr>
          <w:rFonts w:hint="eastAsia" w:ascii="宋体" w:hAnsi="宋体"/>
          <w:bCs/>
          <w:color w:val="auto"/>
          <w:szCs w:val="21"/>
        </w:rPr>
        <w:t>分部分项</w:t>
      </w:r>
      <w:r>
        <w:rPr>
          <w:rFonts w:hint="eastAsia"/>
          <w:bCs/>
          <w:color w:val="auto"/>
          <w:szCs w:val="21"/>
        </w:rPr>
        <w:t>验收当天后 5 天内提出整改意见，乙方按意见整改。</w:t>
      </w:r>
    </w:p>
    <w:p>
      <w:pPr>
        <w:spacing w:line="520" w:lineRule="exact"/>
        <w:ind w:firstLine="480"/>
        <w:rPr>
          <w:bCs/>
          <w:color w:val="auto"/>
          <w:szCs w:val="21"/>
        </w:rPr>
      </w:pPr>
      <w:r>
        <w:rPr>
          <w:rFonts w:hint="eastAsia"/>
          <w:bCs/>
          <w:color w:val="auto"/>
          <w:szCs w:val="21"/>
        </w:rPr>
        <w:t>5、</w:t>
      </w:r>
      <w:r>
        <w:rPr>
          <w:rFonts w:hint="eastAsia" w:ascii="宋体" w:hAnsi="宋体"/>
          <w:bCs/>
          <w:color w:val="auto"/>
          <w:szCs w:val="21"/>
        </w:rPr>
        <w:t>分部分项</w:t>
      </w:r>
      <w:r>
        <w:rPr>
          <w:rFonts w:hint="eastAsia"/>
          <w:bCs/>
          <w:color w:val="auto"/>
          <w:szCs w:val="21"/>
        </w:rPr>
        <w:t>验收参加单位为建设单位、甲方、乙方、设计单位，工程</w:t>
      </w:r>
      <w:r>
        <w:rPr>
          <w:rFonts w:hint="eastAsia" w:ascii="宋体" w:hAnsi="宋体"/>
          <w:bCs/>
          <w:color w:val="auto"/>
          <w:szCs w:val="21"/>
        </w:rPr>
        <w:t>分部分项</w:t>
      </w:r>
      <w:r>
        <w:rPr>
          <w:rFonts w:hint="eastAsia"/>
          <w:bCs/>
          <w:color w:val="auto"/>
          <w:szCs w:val="21"/>
        </w:rPr>
        <w:t>四方验收文件所标示的最后日期即为实际竣工日期。</w:t>
      </w:r>
    </w:p>
    <w:p>
      <w:pPr>
        <w:tabs>
          <w:tab w:val="left" w:pos="180"/>
          <w:tab w:val="left" w:pos="900"/>
        </w:tabs>
        <w:spacing w:line="480" w:lineRule="exact"/>
        <w:ind w:firstLine="525" w:firstLineChars="250"/>
        <w:rPr>
          <w:rFonts w:ascii="宋体" w:hAnsi="宋体"/>
          <w:bCs/>
          <w:color w:val="auto"/>
          <w:szCs w:val="21"/>
        </w:rPr>
      </w:pPr>
      <w:r>
        <w:rPr>
          <w:rFonts w:hint="eastAsia" w:ascii="宋体" w:hAnsi="宋体"/>
          <w:bCs/>
          <w:color w:val="auto"/>
          <w:szCs w:val="21"/>
        </w:rPr>
        <w:t>6、分项工程施工前，乙方必须先做样板，经甲方验收合格后方可大面积施工。</w:t>
      </w:r>
    </w:p>
    <w:p>
      <w:pPr>
        <w:spacing w:line="480" w:lineRule="exact"/>
        <w:ind w:firstLine="525" w:firstLineChars="250"/>
        <w:rPr>
          <w:rFonts w:ascii="宋体" w:hAnsi="宋体"/>
          <w:bCs/>
          <w:color w:val="auto"/>
          <w:szCs w:val="21"/>
        </w:rPr>
      </w:pPr>
      <w:r>
        <w:rPr>
          <w:rFonts w:hint="eastAsia" w:ascii="宋体" w:hAnsi="宋体"/>
          <w:bCs/>
          <w:color w:val="auto"/>
          <w:szCs w:val="21"/>
        </w:rPr>
        <w:t>7、如工程质量达不到合同约定的标准并在合理时间内整改一次无效，甲方</w:t>
      </w:r>
      <w:r>
        <w:rPr>
          <w:rFonts w:hint="eastAsia" w:ascii="宋体" w:hAnsi="宋体"/>
          <w:color w:val="auto"/>
          <w:szCs w:val="21"/>
        </w:rPr>
        <w:t>有权委托第三方代乙方完成，因此造成甲方的一切损失再加上25%的管理费由乙方承担，并在工程合同总价中扣除。</w:t>
      </w:r>
    </w:p>
    <w:p>
      <w:pPr>
        <w:spacing w:line="480" w:lineRule="exact"/>
        <w:ind w:firstLine="420" w:firstLineChars="200"/>
        <w:rPr>
          <w:rFonts w:hint="eastAsia" w:ascii="宋体" w:hAnsi="宋体"/>
          <w:bCs/>
          <w:color w:val="auto"/>
          <w:szCs w:val="21"/>
        </w:rPr>
      </w:pPr>
      <w:r>
        <w:rPr>
          <w:rFonts w:hint="eastAsia" w:ascii="宋体" w:hAnsi="宋体"/>
          <w:bCs/>
          <w:color w:val="auto"/>
          <w:szCs w:val="21"/>
        </w:rPr>
        <w:t>8、乙方应于验收申请时将完整的工程技术档案和竣工资料一式</w:t>
      </w:r>
      <w:r>
        <w:rPr>
          <w:rFonts w:hint="eastAsia" w:ascii="宋体" w:hAnsi="宋体"/>
          <w:bCs/>
          <w:color w:val="auto"/>
          <w:szCs w:val="21"/>
          <w:u w:val="single"/>
        </w:rPr>
        <w:t>二</w:t>
      </w:r>
      <w:r>
        <w:rPr>
          <w:rFonts w:hint="eastAsia" w:ascii="宋体" w:hAnsi="宋体"/>
          <w:bCs/>
          <w:color w:val="auto"/>
          <w:szCs w:val="21"/>
        </w:rPr>
        <w:t>份交付给甲方。</w:t>
      </w:r>
    </w:p>
    <w:p>
      <w:pPr>
        <w:tabs>
          <w:tab w:val="left" w:pos="930"/>
        </w:tabs>
        <w:spacing w:line="500" w:lineRule="exact"/>
        <w:ind w:firstLine="420"/>
        <w:rPr>
          <w:color w:val="auto"/>
          <w:kern w:val="0"/>
          <w:sz w:val="20"/>
          <w:szCs w:val="20"/>
        </w:rPr>
      </w:pPr>
      <w:r>
        <w:rPr>
          <w:rFonts w:hint="eastAsia" w:ascii="宋体" w:hAnsi="宋体"/>
          <w:bCs/>
          <w:color w:val="auto"/>
          <w:kern w:val="0"/>
          <w:sz w:val="20"/>
          <w:szCs w:val="21"/>
        </w:rPr>
        <w:t>9、甲方或相关单位对本合同工程的验收合格，均不免除乙方对工程施工的质量保证责任，只要甲方有证据证明乙方工程存在质量问题，不论是否验收合格，甲方均有权追究易乙方的违约责任。</w:t>
      </w:r>
    </w:p>
    <w:p>
      <w:pPr>
        <w:spacing w:line="480" w:lineRule="exact"/>
        <w:ind w:firstLine="420" w:firstLineChars="200"/>
        <w:rPr>
          <w:rFonts w:hint="eastAsia" w:ascii="宋体" w:hAnsi="宋体"/>
          <w:bCs/>
          <w:color w:val="auto"/>
          <w:szCs w:val="21"/>
        </w:rPr>
      </w:pPr>
      <w:r>
        <w:rPr>
          <w:rFonts w:hint="eastAsia" w:ascii="宋体" w:hAnsi="宋体"/>
          <w:bCs/>
          <w:color w:val="auto"/>
          <w:szCs w:val="21"/>
        </w:rPr>
        <w:t>10、工程完工后一个月内提交一套符合市档案线上审查通过的资料。</w:t>
      </w:r>
    </w:p>
    <w:p>
      <w:pPr>
        <w:spacing w:line="480" w:lineRule="exact"/>
        <w:ind w:firstLine="420" w:firstLineChars="200"/>
        <w:rPr>
          <w:rFonts w:ascii="宋体" w:hAnsi="宋体"/>
          <w:b/>
          <w:color w:val="auto"/>
          <w:szCs w:val="21"/>
        </w:rPr>
      </w:pPr>
      <w:r>
        <w:rPr>
          <w:rFonts w:hint="eastAsia" w:ascii="宋体" w:hAnsi="宋体"/>
          <w:bCs/>
          <w:color w:val="auto"/>
          <w:szCs w:val="21"/>
        </w:rPr>
        <w:t>11</w:t>
      </w:r>
      <w:r>
        <w:rPr>
          <w:rFonts w:hint="eastAsia" w:ascii="宋体" w:hAnsi="宋体"/>
          <w:bCs/>
          <w:color w:val="auto"/>
          <w:szCs w:val="21"/>
        </w:rPr>
        <w:t>、本条第</w:t>
      </w:r>
      <w:r>
        <w:rPr>
          <w:rFonts w:hint="eastAsia" w:ascii="宋体" w:hAnsi="宋体"/>
          <w:bCs/>
          <w:color w:val="auto"/>
          <w:szCs w:val="21"/>
          <w:u w:val="single"/>
        </w:rPr>
        <w:t xml:space="preserve">          /         </w:t>
      </w:r>
      <w:r>
        <w:rPr>
          <w:rFonts w:hint="eastAsia" w:ascii="宋体" w:hAnsi="宋体"/>
          <w:bCs/>
          <w:color w:val="auto"/>
          <w:szCs w:val="21"/>
        </w:rPr>
        <w:t>款/项不适用于本合同。</w:t>
      </w:r>
    </w:p>
    <w:p>
      <w:pPr>
        <w:spacing w:line="480" w:lineRule="exact"/>
        <w:rPr>
          <w:rFonts w:ascii="宋体" w:hAnsi="宋体"/>
          <w:b/>
          <w:color w:val="auto"/>
          <w:szCs w:val="21"/>
        </w:rPr>
      </w:pPr>
      <w:r>
        <w:rPr>
          <w:rFonts w:hint="eastAsia" w:ascii="宋体" w:hAnsi="宋体"/>
          <w:b/>
          <w:color w:val="auto"/>
          <w:szCs w:val="21"/>
        </w:rPr>
        <w:t>第八条  材料设备供应</w:t>
      </w:r>
    </w:p>
    <w:p>
      <w:pPr>
        <w:spacing w:line="480" w:lineRule="exact"/>
        <w:ind w:firstLine="210" w:firstLineChars="100"/>
        <w:rPr>
          <w:rFonts w:ascii="宋体" w:hAnsi="宋体"/>
          <w:color w:val="auto"/>
          <w:szCs w:val="21"/>
        </w:rPr>
      </w:pPr>
      <w:r>
        <w:rPr>
          <w:rFonts w:hint="eastAsia" w:ascii="宋体" w:hAnsi="宋体"/>
          <w:color w:val="auto"/>
          <w:szCs w:val="21"/>
        </w:rPr>
        <w:t>（一）由甲方供应的材料及设备</w:t>
      </w:r>
    </w:p>
    <w:p>
      <w:pPr>
        <w:spacing w:line="480" w:lineRule="exact"/>
        <w:ind w:firstLine="420"/>
        <w:rPr>
          <w:rFonts w:ascii="宋体" w:hAnsi="宋体"/>
          <w:color w:val="auto"/>
          <w:szCs w:val="21"/>
        </w:rPr>
      </w:pPr>
      <w:r>
        <w:rPr>
          <w:rFonts w:hint="eastAsia" w:ascii="宋体" w:hAnsi="宋体"/>
          <w:color w:val="auto"/>
          <w:szCs w:val="21"/>
        </w:rPr>
        <w:t>1、甲方将甲供材料、设备送到至施工现场，并提交列明材料品种、规格、颜色、材质等清单，由乙方签收。</w:t>
      </w:r>
    </w:p>
    <w:p>
      <w:pPr>
        <w:spacing w:line="480" w:lineRule="exact"/>
        <w:ind w:firstLine="480"/>
        <w:rPr>
          <w:rFonts w:ascii="宋体" w:hAnsi="宋体"/>
          <w:color w:val="auto"/>
          <w:szCs w:val="21"/>
        </w:rPr>
      </w:pPr>
      <w:r>
        <w:rPr>
          <w:rFonts w:hint="eastAsia" w:ascii="宋体" w:hAnsi="宋体"/>
          <w:color w:val="auto"/>
          <w:szCs w:val="21"/>
        </w:rPr>
        <w:t>2、</w:t>
      </w:r>
      <w:r>
        <w:rPr>
          <w:rFonts w:hint="eastAsia" w:ascii="宋体" w:hAnsi="宋体"/>
          <w:color w:val="auto"/>
          <w:kern w:val="0"/>
          <w:szCs w:val="21"/>
        </w:rPr>
        <w:t>甲供材料货到现场后</w:t>
      </w:r>
      <w:r>
        <w:rPr>
          <w:rFonts w:hint="eastAsia" w:ascii="宋体" w:hAnsi="宋体"/>
          <w:color w:val="auto"/>
          <w:szCs w:val="21"/>
        </w:rPr>
        <w:t>，保管责任由乙方负责。如发现遗失或损坏，由乙方负责赔偿</w:t>
      </w:r>
      <w:r>
        <w:rPr>
          <w:rFonts w:hint="eastAsia" w:ascii="宋体" w:hAnsi="宋体"/>
          <w:color w:val="auto"/>
          <w:szCs w:val="21"/>
        </w:rPr>
        <w:t>（采保费已包含在投标报价内）</w:t>
      </w:r>
      <w:r>
        <w:rPr>
          <w:rFonts w:hint="eastAsia" w:ascii="宋体" w:hAnsi="宋体"/>
          <w:color w:val="auto"/>
          <w:szCs w:val="21"/>
        </w:rPr>
        <w:t>。</w:t>
      </w:r>
    </w:p>
    <w:p>
      <w:pPr>
        <w:spacing w:line="480" w:lineRule="exact"/>
        <w:ind w:firstLine="480"/>
        <w:rPr>
          <w:rFonts w:ascii="宋体" w:hAnsi="宋体"/>
          <w:color w:val="auto"/>
          <w:szCs w:val="21"/>
        </w:rPr>
      </w:pPr>
      <w:r>
        <w:rPr>
          <w:rFonts w:hint="eastAsia" w:ascii="宋体" w:hAnsi="宋体"/>
          <w:color w:val="auto"/>
          <w:szCs w:val="21"/>
        </w:rPr>
        <w:t>3、甲方必须对所提供材料、设备的质量负责。</w:t>
      </w:r>
    </w:p>
    <w:p>
      <w:pPr>
        <w:spacing w:line="480" w:lineRule="exact"/>
        <w:ind w:firstLine="480"/>
        <w:rPr>
          <w:rFonts w:ascii="宋体" w:hAnsi="宋体"/>
          <w:color w:val="auto"/>
          <w:szCs w:val="21"/>
        </w:rPr>
      </w:pPr>
      <w:r>
        <w:rPr>
          <w:rFonts w:hint="eastAsia" w:ascii="宋体" w:hAnsi="宋体"/>
          <w:color w:val="auto"/>
          <w:szCs w:val="21"/>
        </w:rPr>
        <w:t>4、乙方需在甲供材料使用前10天上报材料计划，如因乙方未及时上报材料计划或上报材料计划有误而导致甲供材料延误的，工期不予顺延，乙方承担全部责任。</w:t>
      </w:r>
    </w:p>
    <w:p>
      <w:pPr>
        <w:spacing w:line="480" w:lineRule="exact"/>
        <w:ind w:firstLine="210" w:firstLineChars="100"/>
        <w:rPr>
          <w:rFonts w:ascii="宋体" w:hAnsi="宋体"/>
          <w:color w:val="auto"/>
          <w:szCs w:val="21"/>
        </w:rPr>
      </w:pPr>
      <w:r>
        <w:rPr>
          <w:rFonts w:hint="eastAsia" w:ascii="宋体" w:hAnsi="宋体"/>
          <w:color w:val="auto"/>
          <w:szCs w:val="21"/>
        </w:rPr>
        <w:t>（二）由乙方购买、提供的材料及设备：</w:t>
      </w:r>
    </w:p>
    <w:p>
      <w:pPr>
        <w:spacing w:line="480" w:lineRule="exact"/>
        <w:ind w:firstLine="420" w:firstLineChars="200"/>
        <w:rPr>
          <w:rFonts w:ascii="宋体" w:hAnsi="宋体"/>
          <w:color w:val="auto"/>
          <w:szCs w:val="21"/>
        </w:rPr>
      </w:pPr>
      <w:r>
        <w:rPr>
          <w:rFonts w:hint="eastAsia" w:ascii="宋体" w:hAnsi="宋体"/>
          <w:color w:val="auto"/>
          <w:szCs w:val="21"/>
        </w:rPr>
        <w:t>1、本工程所需的设备、材料等物资的供应均由乙方根据图纸、招标报价方案要求负责采购。</w:t>
      </w:r>
    </w:p>
    <w:p>
      <w:pPr>
        <w:spacing w:line="480" w:lineRule="exact"/>
        <w:ind w:firstLine="480"/>
        <w:rPr>
          <w:rFonts w:ascii="宋体" w:hAnsi="宋体"/>
          <w:color w:val="auto"/>
          <w:szCs w:val="21"/>
        </w:rPr>
      </w:pPr>
      <w:r>
        <w:rPr>
          <w:rFonts w:hint="eastAsia" w:ascii="宋体" w:hAnsi="宋体"/>
          <w:color w:val="auto"/>
          <w:szCs w:val="21"/>
        </w:rPr>
        <w:t>2、乙方提供的设备、材料必须达到国家及行业合格标准，并按有关规定提供厂家批号、出厂合格证、当年报验的质量检验书等资料证明，乙方必须对所提供的材料的质量负全责。</w:t>
      </w:r>
      <w:r>
        <w:rPr>
          <w:rFonts w:hint="eastAsia" w:ascii="宋体" w:hAnsi="宋体"/>
          <w:color w:val="auto"/>
          <w:szCs w:val="21"/>
        </w:rPr>
        <w:t>主要材料及主材的</w:t>
      </w:r>
      <w:r>
        <w:rPr>
          <w:rFonts w:hint="eastAsia" w:ascii="宋体" w:hAnsi="宋体"/>
          <w:color w:val="auto"/>
          <w:kern w:val="0"/>
          <w:szCs w:val="21"/>
          <w:lang w:val="zh-CN"/>
        </w:rPr>
        <w:t>单价须由乙方在施工前提供三家报价报送甲方审核部门确定后方能作为结算依据，乙方未及时在施工前报甲方审核的，以甲方审定的价格结算。</w:t>
      </w:r>
    </w:p>
    <w:p>
      <w:pPr>
        <w:spacing w:line="480" w:lineRule="exact"/>
        <w:ind w:firstLine="420" w:firstLineChars="200"/>
        <w:rPr>
          <w:rFonts w:ascii="宋体" w:hAnsi="宋体"/>
          <w:color w:val="auto"/>
          <w:szCs w:val="21"/>
        </w:rPr>
      </w:pPr>
      <w:r>
        <w:rPr>
          <w:rFonts w:hint="eastAsia" w:ascii="宋体" w:hAnsi="宋体"/>
          <w:color w:val="auto"/>
          <w:szCs w:val="21"/>
        </w:rPr>
        <w:t>3、乙方提供材料的，应向甲方提交列明材料品种、品牌、规格、颜色、材质等的清单，经甲方代表核实签字验收合格后，方可组织材料，设备进场。</w:t>
      </w:r>
    </w:p>
    <w:p>
      <w:pPr>
        <w:spacing w:line="480" w:lineRule="exact"/>
        <w:ind w:firstLine="420" w:firstLineChars="200"/>
        <w:rPr>
          <w:rFonts w:ascii="宋体" w:hAnsi="宋体"/>
          <w:color w:val="auto"/>
          <w:szCs w:val="21"/>
        </w:rPr>
      </w:pPr>
      <w:r>
        <w:rPr>
          <w:rFonts w:hint="eastAsia" w:ascii="宋体" w:hAnsi="宋体"/>
          <w:color w:val="auto"/>
          <w:szCs w:val="21"/>
        </w:rPr>
        <w:t>4、进场材料和设备必须是招标文件中甲方指定的品牌，若乙方对所有用于本工程的材料变更或代用其它材料的，应向甲方发出正式书面通知，经甲方及设计单位同意并由甲方现场代表签字认可后，方可用于本工程，否则，监理和甲方现场工程师均有权制止，并要求乙方退回全部材料和设备，同时，</w:t>
      </w:r>
      <w:r>
        <w:rPr>
          <w:rFonts w:hint="eastAsia" w:ascii="宋体" w:hAnsi="宋体"/>
          <w:bCs/>
          <w:color w:val="auto"/>
          <w:szCs w:val="21"/>
        </w:rPr>
        <w:t>乙方必须承担返工及另行购料安装所引起的一切费用。对甲方造成损失的，乙方应予以赔偿。</w:t>
      </w:r>
      <w:r>
        <w:rPr>
          <w:rFonts w:hint="eastAsia" w:ascii="宋体" w:hAnsi="宋体"/>
          <w:color w:val="auto"/>
          <w:szCs w:val="21"/>
        </w:rPr>
        <w:t>。</w:t>
      </w:r>
    </w:p>
    <w:p>
      <w:pPr>
        <w:spacing w:line="480" w:lineRule="exact"/>
        <w:ind w:firstLine="420" w:firstLineChars="200"/>
        <w:rPr>
          <w:rFonts w:ascii="宋体" w:hAnsi="宋体"/>
          <w:color w:val="auto"/>
          <w:szCs w:val="21"/>
        </w:rPr>
      </w:pPr>
      <w:r>
        <w:rPr>
          <w:rFonts w:hint="eastAsia" w:ascii="宋体" w:hAnsi="宋体"/>
          <w:color w:val="auto"/>
          <w:szCs w:val="21"/>
        </w:rPr>
        <w:t>5、乙供材料必须符合国家标准及规范，并经甲方现场工程师及监理进行现场验收合格后，方可进场施工，验收未合格材料须立即退场，由此产生的一切损失由乙方承担。</w:t>
      </w:r>
    </w:p>
    <w:p>
      <w:pPr>
        <w:spacing w:line="480" w:lineRule="exact"/>
        <w:ind w:firstLine="420" w:firstLineChars="200"/>
        <w:rPr>
          <w:rFonts w:ascii="宋体" w:hAnsi="宋体"/>
          <w:color w:val="auto"/>
          <w:szCs w:val="21"/>
        </w:rPr>
      </w:pPr>
      <w:r>
        <w:rPr>
          <w:rFonts w:hint="eastAsia" w:ascii="宋体" w:hAnsi="宋体"/>
          <w:color w:val="auto"/>
          <w:szCs w:val="21"/>
        </w:rPr>
        <w:t>6、乙方提供的材料和设备，乙方应会同监理人进行检验和交货验收，查验材料合格证明和产品合格证书，并按照合同约定及相关规范要求的规定，进行材料和设备的送检检测，检测合格且通过甲方验收合格后方可用于本工程，</w:t>
      </w:r>
      <w:r>
        <w:rPr>
          <w:rFonts w:hint="eastAsia" w:ascii="宋体" w:hAnsi="宋体"/>
          <w:color w:val="auto"/>
          <w:szCs w:val="21"/>
        </w:rPr>
        <w:t>乙方负责材料送检工作</w:t>
      </w:r>
      <w:r>
        <w:rPr>
          <w:rFonts w:hint="eastAsia" w:ascii="宋体" w:hAnsi="宋体"/>
          <w:color w:val="auto"/>
          <w:szCs w:val="21"/>
        </w:rPr>
        <w:t>。</w:t>
      </w:r>
    </w:p>
    <w:p>
      <w:pPr>
        <w:spacing w:line="480" w:lineRule="exact"/>
        <w:ind w:firstLine="525" w:firstLineChars="250"/>
        <w:rPr>
          <w:rFonts w:ascii="宋体" w:hAnsi="宋体"/>
          <w:bCs/>
          <w:color w:val="auto"/>
          <w:szCs w:val="21"/>
        </w:rPr>
      </w:pPr>
      <w:r>
        <w:rPr>
          <w:rFonts w:hint="eastAsia" w:ascii="宋体" w:hAnsi="宋体"/>
          <w:bCs/>
          <w:color w:val="auto"/>
          <w:szCs w:val="21"/>
        </w:rPr>
        <w:t>7、甲方有权对产品质量取样送相关技术质量监督部门检验。如检验结果达不到国家标准，乙方必须立即停工并在两日内办理材料、设备退场及退货，并承担相关费用和由此给甲方造成的损失。影响甲方工期的，乙方应承担相应的赔偿责任。</w:t>
      </w:r>
    </w:p>
    <w:p>
      <w:pPr>
        <w:spacing w:line="480" w:lineRule="exact"/>
        <w:rPr>
          <w:rFonts w:ascii="宋体" w:hAnsi="宋体"/>
          <w:b/>
          <w:color w:val="auto"/>
          <w:szCs w:val="21"/>
        </w:rPr>
      </w:pPr>
      <w:r>
        <w:rPr>
          <w:rFonts w:hint="eastAsia" w:ascii="宋体" w:hAnsi="宋体"/>
          <w:b/>
          <w:color w:val="auto"/>
          <w:szCs w:val="21"/>
        </w:rPr>
        <w:t>第九条  付款方式</w:t>
      </w:r>
    </w:p>
    <w:p>
      <w:pPr>
        <w:spacing w:line="480" w:lineRule="exact"/>
        <w:ind w:firstLine="420" w:firstLineChars="200"/>
        <w:rPr>
          <w:rFonts w:ascii="宋体" w:hAnsi="宋体"/>
          <w:color w:val="auto"/>
          <w:szCs w:val="21"/>
        </w:rPr>
      </w:pPr>
      <w:r>
        <w:rPr>
          <w:rFonts w:hint="eastAsia" w:ascii="宋体" w:hAnsi="宋体"/>
          <w:color w:val="auto"/>
          <w:szCs w:val="21"/>
        </w:rPr>
        <w:t>1、工程款支付节点</w:t>
      </w:r>
      <w:r>
        <w:rPr>
          <w:rFonts w:hint="eastAsia" w:ascii="宋体" w:hAnsi="宋体"/>
          <w:color w:val="auto"/>
          <w:szCs w:val="21"/>
        </w:rPr>
        <w:t>：</w:t>
      </w:r>
    </w:p>
    <w:p>
      <w:pPr>
        <w:spacing w:line="480" w:lineRule="exact"/>
        <w:ind w:firstLine="420" w:firstLineChars="200"/>
        <w:rPr>
          <w:rFonts w:hint="eastAsia" w:ascii="宋体" w:hAnsi="宋体" w:eastAsia="宋体" w:cs="Times New Roman"/>
          <w:color w:val="auto"/>
          <w:szCs w:val="21"/>
          <w:lang w:val="en-US" w:eastAsia="zh-CN"/>
        </w:rPr>
      </w:pPr>
      <w:r>
        <w:rPr>
          <w:rFonts w:hint="eastAsia" w:ascii="宋体" w:hAnsi="宋体" w:eastAsia="宋体" w:cs="Times New Roman"/>
          <w:color w:val="auto"/>
          <w:szCs w:val="21"/>
          <w:lang w:val="en-US" w:eastAsia="zh-CN"/>
        </w:rPr>
        <w:t>（1）工程预付款：本项目无预付款；</w:t>
      </w:r>
    </w:p>
    <w:p>
      <w:pPr>
        <w:spacing w:line="480" w:lineRule="exact"/>
        <w:ind w:firstLine="420" w:firstLineChars="200"/>
        <w:rPr>
          <w:rFonts w:hint="eastAsia" w:ascii="宋体" w:hAnsi="宋体" w:eastAsia="宋体" w:cs="Times New Roman"/>
          <w:color w:val="auto"/>
          <w:szCs w:val="21"/>
          <w:lang w:val="en-US" w:eastAsia="zh-CN"/>
        </w:rPr>
      </w:pPr>
      <w:r>
        <w:rPr>
          <w:rFonts w:hint="eastAsia" w:ascii="宋体" w:hAnsi="宋体" w:eastAsia="宋体" w:cs="Times New Roman"/>
          <w:color w:val="auto"/>
          <w:szCs w:val="21"/>
          <w:lang w:val="en-US" w:eastAsia="zh-CN"/>
        </w:rPr>
        <w:t>（2）工程进度款：承包人进场开工15天后，方可申报工程进度款；乙方应在每月22日根据上月21日起至本月20日止完成的实际工程量。甲方在收到乙方提交的当月工程进度款申请后的15天内完成申报量的确认并支付经确认的进度款的80%费用。承包人按本月实际完成工程量分单元按专业申报工程进度款(一式二份)。</w:t>
      </w:r>
    </w:p>
    <w:p>
      <w:pPr>
        <w:spacing w:line="480" w:lineRule="exact"/>
        <w:ind w:firstLine="420" w:firstLineChars="200"/>
        <w:rPr>
          <w:rFonts w:hint="eastAsia" w:ascii="宋体" w:hAnsi="宋体" w:eastAsia="宋体" w:cs="Times New Roman"/>
          <w:color w:val="auto"/>
          <w:szCs w:val="21"/>
          <w:lang w:val="en-US" w:eastAsia="zh-CN"/>
        </w:rPr>
      </w:pPr>
      <w:r>
        <w:rPr>
          <w:rFonts w:hint="eastAsia" w:ascii="宋体" w:hAnsi="宋体" w:eastAsia="宋体" w:cs="Times New Roman"/>
          <w:color w:val="auto"/>
          <w:szCs w:val="21"/>
          <w:lang w:val="en-US" w:eastAsia="zh-CN"/>
        </w:rPr>
        <w:t>（3）在当期工程款项支付前，如发现当期完成工程项有不合格时，将扣除不合格项费用的费用，乙方还应立即进行修补工作，费用自理；不合格项经整改或修补达到“合格”的，在达标的当期支付其对应的费用；不合格项经整改或修补后经验收仍不合格的，应在结算中扣除不合格项费用。</w:t>
      </w:r>
    </w:p>
    <w:p>
      <w:pPr>
        <w:spacing w:line="480" w:lineRule="exact"/>
        <w:ind w:firstLine="420" w:firstLineChars="200"/>
        <w:rPr>
          <w:rFonts w:hint="eastAsia" w:ascii="宋体" w:hAnsi="宋体" w:eastAsia="宋体" w:cs="Times New Roman"/>
          <w:color w:val="auto"/>
          <w:szCs w:val="21"/>
          <w:lang w:val="en-US" w:eastAsia="zh-CN"/>
        </w:rPr>
      </w:pPr>
      <w:r>
        <w:rPr>
          <w:rFonts w:hint="eastAsia" w:ascii="宋体" w:hAnsi="宋体" w:eastAsia="宋体" w:cs="Times New Roman"/>
          <w:color w:val="auto"/>
          <w:szCs w:val="21"/>
          <w:lang w:val="en-US" w:eastAsia="zh-CN"/>
        </w:rPr>
        <w:t>（4）工程完工累计支付至合同（暂定）总价80%时，暂停支付工程进度款。签证变更按甲方初审价的60%支付。</w:t>
      </w:r>
    </w:p>
    <w:p>
      <w:pPr>
        <w:spacing w:line="480" w:lineRule="exact"/>
        <w:ind w:firstLine="420" w:firstLineChars="200"/>
        <w:rPr>
          <w:rFonts w:hint="eastAsia" w:ascii="宋体" w:hAnsi="宋体" w:eastAsia="宋体" w:cs="Times New Roman"/>
          <w:color w:val="auto"/>
          <w:szCs w:val="21"/>
          <w:lang w:val="en-US" w:eastAsia="zh-CN"/>
        </w:rPr>
      </w:pPr>
      <w:r>
        <w:rPr>
          <w:rFonts w:hint="eastAsia" w:ascii="宋体" w:hAnsi="宋体" w:eastAsia="宋体" w:cs="Times New Roman"/>
          <w:color w:val="auto"/>
          <w:szCs w:val="21"/>
          <w:lang w:val="en-US" w:eastAsia="zh-CN"/>
        </w:rPr>
        <w:t>（5）待工程全部调试完毕，并经甲方竣工验收合格，甲方在收到乙方提交的结算书60天完成结算初审，支付至初审结算价的90%；复审后支付至结算价的97%。</w:t>
      </w:r>
    </w:p>
    <w:p>
      <w:pPr>
        <w:spacing w:line="480" w:lineRule="exact"/>
        <w:ind w:firstLine="420" w:firstLineChars="200"/>
        <w:rPr>
          <w:rFonts w:hint="eastAsia" w:ascii="宋体" w:hAnsi="宋体" w:eastAsia="宋体" w:cs="Times New Roman"/>
          <w:color w:val="auto"/>
          <w:szCs w:val="21"/>
        </w:rPr>
      </w:pPr>
      <w:r>
        <w:rPr>
          <w:rFonts w:hint="eastAsia" w:ascii="宋体" w:hAnsi="宋体" w:eastAsia="宋体" w:cs="Times New Roman"/>
          <w:color w:val="auto"/>
          <w:szCs w:val="21"/>
          <w:lang w:val="en-US" w:eastAsia="zh-CN"/>
        </w:rPr>
        <w:t>（6）甲方付款前，乙方必须足额提供增值税税率为</w:t>
      </w:r>
      <w:r>
        <w:rPr>
          <w:rFonts w:hint="eastAsia" w:ascii="宋体" w:hAnsi="宋体" w:eastAsia="宋体" w:cs="Times New Roman"/>
          <w:color w:val="auto"/>
          <w:szCs w:val="21"/>
          <w:u w:val="single"/>
          <w:lang w:val="en-US" w:eastAsia="zh-CN"/>
        </w:rPr>
        <w:t xml:space="preserve">   %</w:t>
      </w:r>
      <w:r>
        <w:rPr>
          <w:rFonts w:hint="eastAsia" w:ascii="宋体" w:hAnsi="宋体" w:eastAsia="宋体" w:cs="Times New Roman"/>
          <w:color w:val="auto"/>
          <w:szCs w:val="21"/>
          <w:lang w:val="en-US" w:eastAsia="zh-CN"/>
        </w:rPr>
        <w:t>的</w:t>
      </w:r>
      <w:r>
        <w:rPr>
          <w:rFonts w:hint="eastAsia" w:ascii="宋体" w:hAnsi="宋体" w:eastAsia="宋体" w:cs="Times New Roman"/>
          <w:color w:val="auto"/>
          <w:szCs w:val="21"/>
          <w:u w:val="single"/>
          <w:lang w:val="en-US" w:eastAsia="zh-CN"/>
        </w:rPr>
        <w:t>专用发票</w:t>
      </w:r>
      <w:r>
        <w:rPr>
          <w:rFonts w:hint="eastAsia" w:ascii="宋体" w:hAnsi="宋体" w:eastAsia="宋体" w:cs="Times New Roman"/>
          <w:color w:val="auto"/>
          <w:szCs w:val="21"/>
          <w:lang w:val="en-US" w:eastAsia="zh-CN"/>
        </w:rPr>
        <w:t>给甲方。如遇国家调整税率，按调整后税率及相关细则执行。乙方每次收取工程款时，需提供上月工人工资表给甲方。否则甲方有权拒绝支付工程款，乙方承担违约责任。</w:t>
      </w:r>
    </w:p>
    <w:p>
      <w:pPr>
        <w:spacing w:line="480" w:lineRule="exact"/>
        <w:ind w:firstLine="420" w:firstLineChars="200"/>
        <w:rPr>
          <w:rFonts w:ascii="宋体" w:hAnsi="宋体"/>
          <w:color w:val="auto"/>
          <w:szCs w:val="21"/>
        </w:rPr>
      </w:pPr>
      <w:r>
        <w:rPr>
          <w:rFonts w:hint="eastAsia" w:ascii="宋体" w:hAnsi="宋体"/>
          <w:color w:val="auto"/>
          <w:szCs w:val="21"/>
        </w:rPr>
        <w:t>2、工程质保金：结算总价的</w:t>
      </w:r>
      <w:r>
        <w:rPr>
          <w:rFonts w:hint="eastAsia" w:ascii="宋体" w:hAnsi="宋体"/>
          <w:color w:val="auto"/>
          <w:szCs w:val="21"/>
          <w:u w:val="single"/>
        </w:rPr>
        <w:t xml:space="preserve">  </w:t>
      </w:r>
      <w:r>
        <w:rPr>
          <w:rFonts w:hint="eastAsia" w:ascii="宋体" w:hAnsi="宋体"/>
          <w:color w:val="auto"/>
          <w:szCs w:val="21"/>
          <w:u w:val="single"/>
          <w:lang w:val="en-US" w:eastAsia="zh-CN"/>
        </w:rPr>
        <w:t>3</w:t>
      </w:r>
      <w:r>
        <w:rPr>
          <w:rFonts w:hint="eastAsia" w:ascii="宋体" w:hAnsi="宋体"/>
          <w:color w:val="auto"/>
          <w:szCs w:val="21"/>
          <w:u w:val="single"/>
        </w:rPr>
        <w:t xml:space="preserve">  </w:t>
      </w:r>
      <w:r>
        <w:rPr>
          <w:rFonts w:hint="eastAsia" w:ascii="宋体" w:hAnsi="宋体"/>
          <w:color w:val="auto"/>
          <w:szCs w:val="21"/>
        </w:rPr>
        <w:t>%作为该项目工程质保金，质保期为两年；甲方在保修期届满30个工作日内组织复检并办理保修终结手续，甲方在按合同约定扣除保修期间应由乙方支付的各项款项和违约金后无息向乙方结清。工程质保金的返还，并不能免除乙方按照合同约定应当承担的质量保修责任和应履行的质量保修义务。</w:t>
      </w:r>
    </w:p>
    <w:p>
      <w:pPr>
        <w:spacing w:line="480" w:lineRule="exact"/>
        <w:ind w:firstLine="420" w:firstLineChars="200"/>
        <w:rPr>
          <w:rFonts w:ascii="宋体" w:hAnsi="宋体"/>
          <w:color w:val="auto"/>
          <w:szCs w:val="21"/>
        </w:rPr>
      </w:pPr>
      <w:r>
        <w:rPr>
          <w:rFonts w:hint="eastAsia" w:ascii="宋体" w:hAnsi="宋体"/>
          <w:color w:val="auto"/>
          <w:szCs w:val="21"/>
        </w:rPr>
        <w:t>3、付款申请</w:t>
      </w:r>
    </w:p>
    <w:p>
      <w:pPr>
        <w:spacing w:line="480" w:lineRule="exact"/>
        <w:ind w:firstLine="420" w:firstLineChars="200"/>
        <w:rPr>
          <w:rFonts w:ascii="宋体" w:hAnsi="宋体"/>
          <w:color w:val="auto"/>
          <w:szCs w:val="21"/>
        </w:rPr>
      </w:pPr>
      <w:r>
        <w:rPr>
          <w:rFonts w:hint="eastAsia" w:ascii="宋体" w:hAnsi="宋体"/>
          <w:color w:val="auto"/>
          <w:szCs w:val="21"/>
        </w:rPr>
        <w:t>（1）乙方每次请款时必须按甲方要求提供甲方进度确认报表、付款申请表以及与请款金额等额的合法税务发票，已经完成的分部分项工程，必须附上分部分项工程质量验收记录表，如未能按甲方要求提供请款的资料和正规合法的税务发票，甲方有权延迟付款。</w:t>
      </w:r>
    </w:p>
    <w:p>
      <w:pPr>
        <w:spacing w:line="480" w:lineRule="exact"/>
        <w:ind w:firstLine="420" w:firstLineChars="200"/>
        <w:rPr>
          <w:rFonts w:ascii="宋体" w:hAnsi="宋体"/>
          <w:color w:val="auto"/>
          <w:szCs w:val="21"/>
        </w:rPr>
      </w:pPr>
      <w:r>
        <w:rPr>
          <w:rFonts w:hint="eastAsia" w:ascii="宋体" w:hAnsi="宋体"/>
          <w:color w:val="auto"/>
          <w:szCs w:val="21"/>
        </w:rPr>
        <w:t>（2）在甲方支付至结算总价97%时，乙方需提供至与结算总价等额的合法税务发票。</w:t>
      </w:r>
    </w:p>
    <w:p>
      <w:pPr>
        <w:spacing w:line="480" w:lineRule="exact"/>
        <w:ind w:firstLine="420" w:firstLineChars="200"/>
        <w:rPr>
          <w:rFonts w:ascii="宋体" w:hAnsi="宋体"/>
          <w:color w:val="auto"/>
          <w:szCs w:val="21"/>
        </w:rPr>
      </w:pPr>
      <w:r>
        <w:rPr>
          <w:rFonts w:hint="eastAsia" w:ascii="宋体" w:hAnsi="宋体"/>
          <w:color w:val="auto"/>
          <w:szCs w:val="21"/>
        </w:rPr>
        <w:t>（</w:t>
      </w:r>
      <w:r>
        <w:rPr>
          <w:rFonts w:ascii="宋体" w:hAnsi="宋体"/>
          <w:color w:val="auto"/>
          <w:szCs w:val="21"/>
        </w:rPr>
        <w:t>3）以上付款，甲方将以</w:t>
      </w:r>
      <w:r>
        <w:rPr>
          <w:rFonts w:hint="eastAsia" w:ascii="宋体" w:hAnsi="宋体"/>
          <w:color w:val="auto"/>
          <w:szCs w:val="21"/>
        </w:rPr>
        <w:t>转账方式支付。</w:t>
      </w:r>
    </w:p>
    <w:p>
      <w:pPr>
        <w:spacing w:line="480" w:lineRule="exact"/>
        <w:ind w:firstLine="420" w:firstLineChars="200"/>
        <w:rPr>
          <w:rFonts w:hint="eastAsia" w:ascii="宋体" w:hAnsi="宋体"/>
          <w:b/>
          <w:color w:val="auto"/>
          <w:szCs w:val="21"/>
        </w:rPr>
      </w:pPr>
      <w:r>
        <w:rPr>
          <w:rFonts w:hint="eastAsia" w:ascii="宋体" w:hAnsi="宋体"/>
          <w:color w:val="auto"/>
          <w:szCs w:val="21"/>
        </w:rPr>
        <w:t>4、支付</w:t>
      </w:r>
      <w:r>
        <w:rPr>
          <w:rFonts w:hint="eastAsia" w:ascii="宋体" w:hAnsi="宋体"/>
          <w:b/>
          <w:color w:val="auto"/>
          <w:szCs w:val="21"/>
        </w:rPr>
        <w:t>（双方同意选择第b款）</w:t>
      </w:r>
    </w:p>
    <w:p>
      <w:pPr>
        <w:spacing w:line="480" w:lineRule="exact"/>
        <w:ind w:firstLine="420" w:firstLineChars="200"/>
        <w:rPr>
          <w:rFonts w:ascii="宋体" w:hAnsi="宋体"/>
          <w:color w:val="auto"/>
          <w:szCs w:val="21"/>
        </w:rPr>
      </w:pPr>
      <w:r>
        <w:rPr>
          <w:rFonts w:hint="eastAsia" w:ascii="宋体" w:hAnsi="宋体"/>
          <w:color w:val="auto"/>
          <w:szCs w:val="21"/>
        </w:rPr>
        <w:t>a、工人工资专用账号</w:t>
      </w:r>
    </w:p>
    <w:p>
      <w:pPr>
        <w:spacing w:line="480" w:lineRule="exact"/>
        <w:ind w:firstLine="420" w:firstLineChars="200"/>
        <w:rPr>
          <w:rFonts w:ascii="宋体" w:hAnsi="宋体"/>
          <w:color w:val="auto"/>
          <w:szCs w:val="21"/>
        </w:rPr>
      </w:pPr>
      <w:r>
        <w:rPr>
          <w:rFonts w:hint="eastAsia" w:ascii="宋体" w:hAnsi="宋体"/>
          <w:color w:val="auto"/>
          <w:szCs w:val="21"/>
        </w:rPr>
        <w:t>（1）</w:t>
      </w:r>
      <w:r>
        <w:rPr>
          <w:rFonts w:hint="eastAsia" w:ascii="宋体" w:hAnsi="宋体"/>
          <w:bCs/>
          <w:color w:val="auto"/>
          <w:szCs w:val="21"/>
        </w:rPr>
        <w:t>本工程进度款的拨付、工人工资的支付及监管，按粤人社规 [2015]3号文《关于印发广东省建设领域工人工资支付分账管理暂行办法的通知》的</w:t>
      </w:r>
      <w:r>
        <w:rPr>
          <w:rFonts w:hint="eastAsia" w:ascii="宋体" w:hAnsi="宋体"/>
          <w:color w:val="auto"/>
          <w:szCs w:val="21"/>
        </w:rPr>
        <w:t>规定执行。用于支付工人工资的企业基本专用账户须在施工合同中列明。</w:t>
      </w:r>
    </w:p>
    <w:p>
      <w:pPr>
        <w:spacing w:line="480" w:lineRule="exact"/>
        <w:ind w:firstLine="420" w:firstLineChars="200"/>
        <w:rPr>
          <w:rFonts w:ascii="宋体" w:hAnsi="宋体"/>
          <w:color w:val="auto"/>
          <w:szCs w:val="21"/>
        </w:rPr>
      </w:pPr>
      <w:r>
        <w:rPr>
          <w:rFonts w:hint="eastAsia" w:ascii="宋体" w:hAnsi="宋体"/>
          <w:color w:val="auto"/>
          <w:szCs w:val="21"/>
        </w:rPr>
        <w:t>（2）乙方在建设项目开工前，在项目所在地商业银行设立工人工资支付专用账户，并在用工之日起15日内为每个工人办理工资个人账户，并建立劳动用工管理台账。</w:t>
      </w:r>
    </w:p>
    <w:p>
      <w:pPr>
        <w:spacing w:line="480" w:lineRule="exact"/>
        <w:ind w:firstLine="420" w:firstLineChars="200"/>
        <w:rPr>
          <w:rFonts w:ascii="宋体" w:hAnsi="宋体"/>
          <w:color w:val="auto"/>
          <w:szCs w:val="21"/>
        </w:rPr>
      </w:pPr>
      <w:r>
        <w:rPr>
          <w:rFonts w:hint="eastAsia" w:ascii="宋体" w:hAnsi="宋体"/>
          <w:color w:val="auto"/>
          <w:szCs w:val="21"/>
        </w:rPr>
        <w:t>（3）甲方拨付工资款项方式为与工程进度款同期支付，且工资款不低于工程进度款的20%，且确保能足额支付工人工资。</w:t>
      </w:r>
    </w:p>
    <w:p>
      <w:pPr>
        <w:spacing w:line="480" w:lineRule="exact"/>
        <w:ind w:firstLine="420" w:firstLineChars="200"/>
        <w:rPr>
          <w:rFonts w:ascii="宋体" w:hAnsi="宋体"/>
          <w:color w:val="auto"/>
          <w:szCs w:val="21"/>
        </w:rPr>
      </w:pPr>
      <w:r>
        <w:rPr>
          <w:rFonts w:hint="eastAsia" w:ascii="宋体" w:hAnsi="宋体"/>
          <w:color w:val="auto"/>
          <w:szCs w:val="21"/>
        </w:rPr>
        <w:t>（4）乙方、工人工资开户银行和账号：由合同双方在甲方支付款项前书面确认。</w:t>
      </w:r>
    </w:p>
    <w:p>
      <w:pPr>
        <w:spacing w:line="480" w:lineRule="exact"/>
        <w:ind w:firstLine="420" w:firstLineChars="200"/>
        <w:rPr>
          <w:rFonts w:ascii="宋体" w:hAnsi="宋体"/>
          <w:color w:val="auto"/>
          <w:szCs w:val="21"/>
        </w:rPr>
      </w:pPr>
      <w:r>
        <w:rPr>
          <w:rFonts w:hint="eastAsia" w:ascii="宋体" w:hAnsi="宋体"/>
          <w:color w:val="auto"/>
          <w:szCs w:val="21"/>
        </w:rPr>
        <w:t>①乙方银行账号信息：</w:t>
      </w:r>
    </w:p>
    <w:p>
      <w:pPr>
        <w:spacing w:line="480" w:lineRule="exact"/>
        <w:ind w:firstLine="420" w:firstLineChars="200"/>
        <w:rPr>
          <w:rFonts w:ascii="宋体" w:hAnsi="宋体"/>
          <w:color w:val="auto"/>
          <w:szCs w:val="21"/>
        </w:rPr>
      </w:pPr>
      <w:r>
        <w:rPr>
          <w:rFonts w:hint="eastAsia" w:ascii="宋体" w:hAnsi="宋体"/>
          <w:color w:val="auto"/>
          <w:szCs w:val="21"/>
        </w:rPr>
        <w:t xml:space="preserve">户名： </w:t>
      </w:r>
      <w:r>
        <w:rPr>
          <w:rFonts w:hint="eastAsia" w:ascii="宋体" w:hAnsi="宋体"/>
          <w:color w:val="auto"/>
          <w:szCs w:val="21"/>
          <w:u w:val="single"/>
        </w:rPr>
        <w:t xml:space="preserve">             </w:t>
      </w:r>
      <w:r>
        <w:rPr>
          <w:rFonts w:hint="eastAsia" w:ascii="宋体" w:hAnsi="宋体"/>
          <w:color w:val="auto"/>
          <w:sz w:val="22"/>
          <w:szCs w:val="21"/>
          <w:u w:val="single"/>
        </w:rPr>
        <w:t xml:space="preserve">    </w:t>
      </w:r>
      <w:r>
        <w:rPr>
          <w:rFonts w:hint="eastAsia" w:ascii="宋体" w:hAnsi="宋体"/>
          <w:color w:val="auto"/>
          <w:szCs w:val="21"/>
          <w:u w:val="single"/>
        </w:rPr>
        <w:t xml:space="preserve">            </w:t>
      </w:r>
    </w:p>
    <w:p>
      <w:pPr>
        <w:spacing w:line="480" w:lineRule="exact"/>
        <w:ind w:firstLine="420" w:firstLineChars="200"/>
        <w:rPr>
          <w:rFonts w:ascii="宋体" w:hAnsi="宋体"/>
          <w:color w:val="auto"/>
          <w:szCs w:val="21"/>
          <w:u w:val="single"/>
        </w:rPr>
      </w:pPr>
      <w:r>
        <w:rPr>
          <w:rFonts w:hint="eastAsia" w:ascii="宋体" w:hAnsi="宋体"/>
          <w:color w:val="auto"/>
          <w:szCs w:val="21"/>
        </w:rPr>
        <w:t>开户行：</w:t>
      </w:r>
      <w:r>
        <w:rPr>
          <w:rFonts w:hint="eastAsia" w:ascii="宋体" w:hAnsi="宋体"/>
          <w:color w:val="auto"/>
          <w:szCs w:val="21"/>
          <w:u w:val="single"/>
        </w:rPr>
        <w:t xml:space="preserve">                            </w:t>
      </w:r>
    </w:p>
    <w:p>
      <w:pPr>
        <w:spacing w:line="480" w:lineRule="exact"/>
        <w:ind w:firstLine="420" w:firstLineChars="200"/>
        <w:rPr>
          <w:rFonts w:hint="eastAsia" w:ascii="宋体" w:hAnsi="宋体"/>
          <w:color w:val="auto"/>
          <w:sz w:val="22"/>
          <w:szCs w:val="21"/>
          <w:u w:val="single"/>
        </w:rPr>
      </w:pPr>
      <w:r>
        <w:rPr>
          <w:rFonts w:hint="eastAsia" w:ascii="宋体" w:hAnsi="宋体"/>
          <w:color w:val="auto"/>
          <w:szCs w:val="21"/>
        </w:rPr>
        <w:t xml:space="preserve">账号： </w:t>
      </w:r>
      <w:r>
        <w:rPr>
          <w:rFonts w:hint="eastAsia" w:ascii="宋体" w:hAnsi="宋体"/>
          <w:color w:val="auto"/>
          <w:szCs w:val="21"/>
          <w:u w:val="single"/>
        </w:rPr>
        <w:t xml:space="preserve">              </w:t>
      </w:r>
      <w:r>
        <w:rPr>
          <w:rFonts w:hint="eastAsia" w:ascii="宋体" w:hAnsi="宋体"/>
          <w:color w:val="auto"/>
          <w:sz w:val="22"/>
          <w:szCs w:val="21"/>
          <w:u w:val="single"/>
        </w:rPr>
        <w:t xml:space="preserve">               </w:t>
      </w:r>
    </w:p>
    <w:p>
      <w:pPr>
        <w:spacing w:line="480" w:lineRule="exact"/>
        <w:ind w:firstLine="420" w:firstLineChars="200"/>
        <w:rPr>
          <w:rFonts w:ascii="宋体" w:hAnsi="宋体"/>
          <w:color w:val="auto"/>
          <w:szCs w:val="21"/>
        </w:rPr>
      </w:pPr>
      <w:r>
        <w:rPr>
          <w:rFonts w:hint="eastAsia" w:ascii="宋体" w:hAnsi="宋体"/>
          <w:color w:val="auto"/>
          <w:szCs w:val="21"/>
        </w:rPr>
        <w:t>②工人工资专用账号信息</w:t>
      </w:r>
    </w:p>
    <w:p>
      <w:pPr>
        <w:spacing w:line="480" w:lineRule="exact"/>
        <w:ind w:firstLine="420" w:firstLineChars="200"/>
        <w:rPr>
          <w:rFonts w:ascii="宋体" w:hAnsi="宋体"/>
          <w:color w:val="auto"/>
          <w:szCs w:val="21"/>
        </w:rPr>
      </w:pPr>
      <w:r>
        <w:rPr>
          <w:rFonts w:hint="eastAsia" w:ascii="宋体" w:hAnsi="宋体"/>
          <w:color w:val="auto"/>
          <w:szCs w:val="21"/>
        </w:rPr>
        <w:t>户名：</w:t>
      </w:r>
      <w:r>
        <w:rPr>
          <w:rFonts w:hint="eastAsia" w:ascii="宋体" w:hAnsi="宋体"/>
          <w:color w:val="auto"/>
          <w:szCs w:val="21"/>
          <w:u w:val="single"/>
        </w:rPr>
        <w:t xml:space="preserve">                               </w:t>
      </w:r>
      <w:r>
        <w:rPr>
          <w:rFonts w:hint="eastAsia" w:ascii="宋体" w:hAnsi="宋体"/>
          <w:color w:val="auto"/>
          <w:szCs w:val="21"/>
        </w:rPr>
        <w:t xml:space="preserve">     </w:t>
      </w:r>
    </w:p>
    <w:p>
      <w:pPr>
        <w:spacing w:line="480" w:lineRule="exact"/>
        <w:ind w:firstLine="420" w:firstLineChars="200"/>
        <w:rPr>
          <w:rFonts w:ascii="宋体" w:hAnsi="宋体"/>
          <w:color w:val="auto"/>
          <w:szCs w:val="21"/>
          <w:u w:val="single"/>
        </w:rPr>
      </w:pPr>
      <w:r>
        <w:rPr>
          <w:rFonts w:hint="eastAsia" w:ascii="宋体" w:hAnsi="宋体"/>
          <w:color w:val="auto"/>
          <w:szCs w:val="21"/>
        </w:rPr>
        <w:t>开户行：</w:t>
      </w:r>
      <w:r>
        <w:rPr>
          <w:rFonts w:hint="eastAsia" w:ascii="宋体" w:hAnsi="宋体"/>
          <w:color w:val="auto"/>
          <w:szCs w:val="21"/>
          <w:u w:val="single"/>
        </w:rPr>
        <w:t xml:space="preserve">                            </w:t>
      </w:r>
    </w:p>
    <w:p>
      <w:pPr>
        <w:spacing w:line="480" w:lineRule="exact"/>
        <w:ind w:firstLine="420" w:firstLineChars="200"/>
        <w:rPr>
          <w:rFonts w:hint="eastAsia" w:ascii="宋体" w:hAnsi="宋体"/>
          <w:color w:val="auto"/>
          <w:szCs w:val="21"/>
        </w:rPr>
      </w:pPr>
      <w:r>
        <w:rPr>
          <w:rFonts w:hint="eastAsia" w:ascii="宋体" w:hAnsi="宋体"/>
          <w:color w:val="auto"/>
          <w:szCs w:val="21"/>
        </w:rPr>
        <w:t xml:space="preserve">账号： </w:t>
      </w:r>
      <w:r>
        <w:rPr>
          <w:rFonts w:hint="eastAsia" w:ascii="宋体" w:hAnsi="宋体"/>
          <w:color w:val="auto"/>
          <w:szCs w:val="21"/>
          <w:u w:val="single"/>
        </w:rPr>
        <w:t xml:space="preserve">                              </w:t>
      </w:r>
      <w:r>
        <w:rPr>
          <w:rFonts w:hint="eastAsia" w:ascii="宋体" w:hAnsi="宋体"/>
          <w:color w:val="auto"/>
          <w:szCs w:val="21"/>
        </w:rPr>
        <w:t xml:space="preserve"> </w:t>
      </w:r>
    </w:p>
    <w:p>
      <w:pPr>
        <w:spacing w:line="480" w:lineRule="exact"/>
        <w:ind w:firstLine="440" w:firstLineChars="200"/>
        <w:rPr>
          <w:rFonts w:ascii="宋体" w:hAnsi="宋体"/>
          <w:color w:val="auto"/>
          <w:sz w:val="22"/>
          <w:szCs w:val="22"/>
        </w:rPr>
      </w:pPr>
      <w:r>
        <w:rPr>
          <w:rFonts w:ascii="宋体" w:hAnsi="宋体"/>
          <w:color w:val="auto"/>
          <w:sz w:val="22"/>
          <w:szCs w:val="22"/>
        </w:rPr>
        <w:t>b</w:t>
      </w:r>
      <w:r>
        <w:rPr>
          <w:rFonts w:hint="eastAsia" w:ascii="宋体" w:hAnsi="宋体"/>
          <w:color w:val="auto"/>
          <w:sz w:val="22"/>
          <w:szCs w:val="22"/>
        </w:rPr>
        <w:t>、不设工人工资专用账号</w:t>
      </w:r>
    </w:p>
    <w:p>
      <w:pPr>
        <w:spacing w:line="480" w:lineRule="exact"/>
        <w:ind w:firstLine="440" w:firstLineChars="200"/>
        <w:rPr>
          <w:rFonts w:ascii="宋体" w:hAnsi="宋体"/>
          <w:color w:val="auto"/>
          <w:sz w:val="22"/>
          <w:szCs w:val="22"/>
        </w:rPr>
      </w:pPr>
      <w:r>
        <w:rPr>
          <w:rFonts w:hint="eastAsia" w:ascii="宋体" w:hAnsi="宋体"/>
          <w:color w:val="auto"/>
          <w:sz w:val="22"/>
          <w:szCs w:val="22"/>
        </w:rPr>
        <w:t>①乙方银行账号信息：</w:t>
      </w:r>
    </w:p>
    <w:p>
      <w:pPr>
        <w:spacing w:line="480" w:lineRule="exact"/>
        <w:ind w:firstLine="440" w:firstLineChars="200"/>
        <w:rPr>
          <w:rFonts w:ascii="宋体" w:hAnsi="宋体"/>
          <w:color w:val="auto"/>
          <w:sz w:val="22"/>
          <w:szCs w:val="22"/>
          <w:u w:val="single"/>
        </w:rPr>
      </w:pPr>
      <w:r>
        <w:rPr>
          <w:rFonts w:hint="eastAsia" w:ascii="宋体" w:hAnsi="宋体"/>
          <w:color w:val="auto"/>
          <w:sz w:val="22"/>
          <w:szCs w:val="22"/>
        </w:rPr>
        <w:t>户名：</w:t>
      </w:r>
      <w:r>
        <w:rPr>
          <w:rFonts w:hint="eastAsia" w:ascii="宋体" w:hAnsi="宋体"/>
          <w:color w:val="auto"/>
          <w:sz w:val="22"/>
          <w:szCs w:val="22"/>
          <w:u w:val="single"/>
        </w:rPr>
        <w:t xml:space="preserve">                         </w:t>
      </w:r>
    </w:p>
    <w:p>
      <w:pPr>
        <w:spacing w:line="480" w:lineRule="exact"/>
        <w:ind w:firstLine="440" w:firstLineChars="200"/>
        <w:rPr>
          <w:rFonts w:ascii="宋体" w:hAnsi="宋体"/>
          <w:color w:val="auto"/>
          <w:sz w:val="22"/>
          <w:szCs w:val="22"/>
          <w:u w:val="single"/>
        </w:rPr>
      </w:pPr>
      <w:r>
        <w:rPr>
          <w:rFonts w:hint="eastAsia" w:ascii="宋体" w:hAnsi="宋体"/>
          <w:color w:val="auto"/>
          <w:sz w:val="22"/>
          <w:szCs w:val="22"/>
        </w:rPr>
        <w:t>开户行：</w:t>
      </w:r>
      <w:r>
        <w:rPr>
          <w:rFonts w:hint="eastAsia" w:ascii="宋体" w:hAnsi="宋体"/>
          <w:color w:val="auto"/>
          <w:sz w:val="22"/>
          <w:szCs w:val="22"/>
          <w:u w:val="single"/>
        </w:rPr>
        <w:t xml:space="preserve">                       </w:t>
      </w:r>
    </w:p>
    <w:p>
      <w:pPr>
        <w:spacing w:line="480" w:lineRule="exact"/>
        <w:ind w:firstLine="440" w:firstLineChars="200"/>
        <w:rPr>
          <w:rFonts w:hint="eastAsia" w:ascii="宋体" w:hAnsi="宋体"/>
          <w:color w:val="auto"/>
          <w:sz w:val="22"/>
          <w:szCs w:val="22"/>
          <w:u w:val="single"/>
        </w:rPr>
      </w:pPr>
      <w:r>
        <w:rPr>
          <w:rFonts w:hint="eastAsia" w:ascii="宋体" w:hAnsi="宋体"/>
          <w:color w:val="auto"/>
          <w:sz w:val="22"/>
          <w:szCs w:val="22"/>
        </w:rPr>
        <w:t xml:space="preserve">账号： </w:t>
      </w:r>
      <w:r>
        <w:rPr>
          <w:rFonts w:hint="eastAsia" w:ascii="宋体" w:hAnsi="宋体"/>
          <w:color w:val="auto"/>
          <w:sz w:val="22"/>
          <w:szCs w:val="22"/>
          <w:u w:val="single"/>
        </w:rPr>
        <w:t xml:space="preserve">                        </w:t>
      </w:r>
    </w:p>
    <w:p>
      <w:pPr>
        <w:spacing w:line="480" w:lineRule="exact"/>
        <w:ind w:firstLine="420" w:firstLineChars="200"/>
        <w:rPr>
          <w:rFonts w:hint="default" w:eastAsia="宋体"/>
          <w:color w:val="auto"/>
          <w:highlight w:val="none"/>
          <w:lang w:val="en-US" w:eastAsia="zh-CN"/>
        </w:rPr>
      </w:pPr>
      <w:r>
        <w:rPr>
          <w:rFonts w:hint="eastAsia"/>
          <w:color w:val="auto"/>
          <w:highlight w:val="none"/>
          <w:lang w:val="en-US" w:eastAsia="zh-CN"/>
        </w:rPr>
        <w:t>②乙方工人需开设由甲方指定银行的工资卡，由甲方代发工人工资，个税由乙方自行缴纳。</w:t>
      </w:r>
    </w:p>
    <w:p>
      <w:pPr>
        <w:spacing w:line="480" w:lineRule="exact"/>
        <w:ind w:firstLine="210" w:firstLineChars="100"/>
        <w:rPr>
          <w:rFonts w:hint="eastAsia" w:ascii="宋体" w:hAnsi="宋体"/>
          <w:color w:val="auto"/>
          <w:sz w:val="22"/>
          <w:szCs w:val="22"/>
          <w:u w:val="single"/>
        </w:rPr>
      </w:pPr>
      <w:r>
        <w:rPr>
          <w:rFonts w:hint="eastAsia" w:ascii="宋体" w:hAnsi="宋体"/>
          <w:color w:val="auto"/>
          <w:szCs w:val="21"/>
        </w:rPr>
        <w:t>（5）甲方开票信息：由合同双方在甲方支付款项前书面确认。</w:t>
      </w:r>
    </w:p>
    <w:p>
      <w:pPr>
        <w:spacing w:line="360" w:lineRule="auto"/>
        <w:ind w:firstLine="210" w:firstLineChars="100"/>
        <w:rPr>
          <w:rFonts w:ascii="宋体" w:hAnsi="宋体"/>
          <w:color w:val="auto"/>
          <w:szCs w:val="21"/>
        </w:rPr>
      </w:pPr>
      <w:r>
        <w:rPr>
          <w:rFonts w:hint="eastAsia" w:ascii="宋体" w:hAnsi="宋体"/>
          <w:color w:val="auto"/>
          <w:szCs w:val="21"/>
        </w:rPr>
        <w:t>（6）付款申请提交后，经甲方审批通过后，15 个工作日内予以支付。</w:t>
      </w:r>
    </w:p>
    <w:p>
      <w:pPr>
        <w:tabs>
          <w:tab w:val="left" w:pos="930"/>
        </w:tabs>
        <w:spacing w:line="500" w:lineRule="exact"/>
        <w:ind w:firstLine="200" w:firstLineChars="100"/>
        <w:rPr>
          <w:rFonts w:hint="eastAsia" w:ascii="宋体" w:hAnsi="宋体"/>
          <w:color w:val="auto"/>
          <w:kern w:val="0"/>
          <w:sz w:val="20"/>
          <w:szCs w:val="21"/>
        </w:rPr>
      </w:pPr>
      <w:r>
        <w:rPr>
          <w:rFonts w:hint="eastAsia" w:ascii="宋体" w:hAnsi="宋体"/>
          <w:color w:val="auto"/>
          <w:kern w:val="0"/>
          <w:sz w:val="20"/>
          <w:szCs w:val="21"/>
        </w:rPr>
        <w:t>（7）</w:t>
      </w:r>
      <w:r>
        <w:rPr>
          <w:rFonts w:hint="eastAsia" w:ascii="宋体" w:hAnsi="宋体"/>
          <w:color w:val="auto"/>
          <w:kern w:val="0"/>
          <w:sz w:val="22"/>
          <w:szCs w:val="22"/>
          <w:u w:val="single"/>
        </w:rPr>
        <w:t>若因乙方收款账户信息有误或乙方变更收款账户信息而未及时通知甲方导致甲方付款错误或迟延的，甲方无需承担任何违约责任。</w:t>
      </w:r>
    </w:p>
    <w:p>
      <w:pPr>
        <w:spacing w:line="480" w:lineRule="exact"/>
        <w:ind w:left="16"/>
        <w:rPr>
          <w:rFonts w:ascii="宋体" w:hAnsi="宋体"/>
          <w:b/>
          <w:color w:val="auto"/>
          <w:szCs w:val="21"/>
        </w:rPr>
      </w:pPr>
      <w:r>
        <w:rPr>
          <w:rFonts w:hint="eastAsia" w:ascii="宋体" w:hAnsi="宋体"/>
          <w:b/>
          <w:color w:val="auto"/>
          <w:szCs w:val="21"/>
        </w:rPr>
        <w:t>第十一条  施工与设计变更</w:t>
      </w:r>
    </w:p>
    <w:p>
      <w:pPr>
        <w:spacing w:line="480" w:lineRule="exact"/>
        <w:ind w:firstLine="420" w:firstLineChars="200"/>
        <w:rPr>
          <w:rFonts w:ascii="宋体" w:hAnsi="宋体"/>
          <w:color w:val="auto"/>
          <w:szCs w:val="21"/>
        </w:rPr>
      </w:pPr>
      <w:r>
        <w:rPr>
          <w:rFonts w:hint="eastAsia" w:ascii="宋体" w:hAnsi="宋体"/>
          <w:color w:val="auto"/>
          <w:szCs w:val="21"/>
        </w:rPr>
        <w:t>1、甲方交付的设计图纸、说明和有关技术资料，乙方应在施工前予以复核、确认，乙方不得擅自修改。预估结算价在甲方允许限额内方可施工，否则应在收到资料的三日内联系甲方修改图纸。</w:t>
      </w:r>
    </w:p>
    <w:p>
      <w:pPr>
        <w:spacing w:line="480" w:lineRule="exact"/>
        <w:ind w:firstLine="420" w:firstLineChars="200"/>
        <w:rPr>
          <w:rFonts w:ascii="宋体" w:hAnsi="宋体"/>
          <w:color w:val="auto"/>
          <w:szCs w:val="21"/>
        </w:rPr>
      </w:pPr>
      <w:r>
        <w:rPr>
          <w:rFonts w:hint="eastAsia" w:ascii="宋体" w:hAnsi="宋体"/>
          <w:color w:val="auto"/>
          <w:szCs w:val="21"/>
        </w:rPr>
        <w:t>2、施工中如发现设计有错误或者严重不合理的地方，乙方应立即停工并以书面形式通知甲方（最迟不得超过发现之日起三日），由甲方及时会同设计等单位作出修改意见或变更设计文件，并及时将修改或变更的设计文件送达乙方，乙方应按修改或变更的设计文件进行施工。</w:t>
      </w:r>
    </w:p>
    <w:p>
      <w:pPr>
        <w:spacing w:line="480" w:lineRule="exact"/>
        <w:ind w:firstLine="420" w:firstLineChars="200"/>
        <w:rPr>
          <w:rFonts w:ascii="宋体" w:hAnsi="宋体"/>
          <w:color w:val="auto"/>
          <w:szCs w:val="21"/>
        </w:rPr>
      </w:pPr>
      <w:r>
        <w:rPr>
          <w:rFonts w:hint="eastAsia" w:ascii="宋体" w:hAnsi="宋体"/>
          <w:color w:val="auto"/>
          <w:szCs w:val="21"/>
        </w:rPr>
        <w:t>3、甲方如需变更设计，必须由原设计单位作出正式修改通知书和修改图纸，并送达给乙方，乙方才予实施。乙方在收到甲方的通知后，须按甲方的要求停工。</w:t>
      </w:r>
    </w:p>
    <w:p>
      <w:pPr>
        <w:spacing w:line="480" w:lineRule="exact"/>
        <w:ind w:firstLine="420" w:firstLineChars="200"/>
        <w:rPr>
          <w:rFonts w:ascii="宋体" w:hAnsi="宋体"/>
          <w:color w:val="auto"/>
          <w:szCs w:val="21"/>
        </w:rPr>
      </w:pPr>
      <w:r>
        <w:rPr>
          <w:rFonts w:hint="eastAsia" w:ascii="宋体" w:hAnsi="宋体"/>
          <w:color w:val="auto"/>
          <w:szCs w:val="21"/>
        </w:rPr>
        <w:t>4、发生增加工程时，甲方需作书面通知，乙方报价经甲方确认后，乙方必须在所有工程量完工后15天内如实、严谨地向甲方报送工程签证，否则甲方有权拒收并视此增加工程不涉及合同价款的增加。</w:t>
      </w:r>
    </w:p>
    <w:p>
      <w:pPr>
        <w:spacing w:line="480" w:lineRule="exact"/>
        <w:ind w:firstLine="420" w:firstLineChars="200"/>
        <w:rPr>
          <w:rFonts w:ascii="宋体" w:hAnsi="宋体"/>
          <w:color w:val="auto"/>
          <w:szCs w:val="21"/>
        </w:rPr>
      </w:pPr>
      <w:r>
        <w:rPr>
          <w:rFonts w:hint="eastAsia" w:ascii="宋体" w:hAnsi="宋体"/>
          <w:color w:val="auto"/>
          <w:szCs w:val="21"/>
        </w:rPr>
        <w:t>5、若由于甲方变更、修改设计，造成工程预算总价款增加，经甲方签证确认后按本合同第四条第3点的约定进行结算。</w:t>
      </w:r>
    </w:p>
    <w:p>
      <w:pPr>
        <w:spacing w:line="480" w:lineRule="exact"/>
        <w:ind w:firstLine="420" w:firstLineChars="200"/>
        <w:rPr>
          <w:rFonts w:ascii="宋体" w:hAnsi="宋体"/>
          <w:color w:val="auto"/>
          <w:szCs w:val="21"/>
        </w:rPr>
      </w:pPr>
      <w:r>
        <w:rPr>
          <w:rFonts w:hint="eastAsia" w:ascii="宋体" w:hAnsi="宋体"/>
          <w:color w:val="auto"/>
          <w:szCs w:val="21"/>
        </w:rPr>
        <w:t>6、</w:t>
      </w:r>
      <w:r>
        <w:rPr>
          <w:rFonts w:hint="eastAsia" w:ascii="宋体" w:hAnsi="宋体"/>
          <w:bCs/>
          <w:color w:val="auto"/>
          <w:szCs w:val="21"/>
        </w:rPr>
        <w:t>本条第</w:t>
      </w:r>
      <w:r>
        <w:rPr>
          <w:rFonts w:hint="eastAsia" w:ascii="宋体" w:hAnsi="宋体"/>
          <w:bCs/>
          <w:color w:val="auto"/>
          <w:szCs w:val="21"/>
          <w:u w:val="single"/>
        </w:rPr>
        <w:t xml:space="preserve">         /          </w:t>
      </w:r>
      <w:r>
        <w:rPr>
          <w:rFonts w:hint="eastAsia" w:ascii="宋体" w:hAnsi="宋体"/>
          <w:bCs/>
          <w:color w:val="auto"/>
          <w:szCs w:val="21"/>
        </w:rPr>
        <w:t>款/项不适用于本合同。</w:t>
      </w:r>
    </w:p>
    <w:p>
      <w:pPr>
        <w:spacing w:line="480" w:lineRule="exact"/>
        <w:rPr>
          <w:rFonts w:ascii="宋体" w:hAnsi="宋体"/>
          <w:b/>
          <w:color w:val="auto"/>
          <w:szCs w:val="21"/>
        </w:rPr>
      </w:pPr>
      <w:r>
        <w:rPr>
          <w:rFonts w:hint="eastAsia" w:ascii="宋体" w:hAnsi="宋体"/>
          <w:b/>
          <w:color w:val="auto"/>
          <w:szCs w:val="21"/>
        </w:rPr>
        <w:t>第十二条  履约保证金（双方同意选择</w:t>
      </w:r>
      <w:r>
        <w:rPr>
          <w:rFonts w:hint="eastAsia" w:ascii="宋体" w:hAnsi="宋体"/>
          <w:b/>
          <w:color w:val="auto"/>
          <w:szCs w:val="21"/>
          <w:highlight w:val="none"/>
        </w:rPr>
        <w:t>第</w:t>
      </w:r>
      <w:r>
        <w:rPr>
          <w:rFonts w:hint="eastAsia" w:ascii="宋体" w:hAnsi="宋体"/>
          <w:b/>
          <w:color w:val="auto"/>
          <w:szCs w:val="21"/>
          <w:highlight w:val="none"/>
          <w:u w:val="single"/>
        </w:rPr>
        <w:t xml:space="preserve">（ </w:t>
      </w:r>
      <w:r>
        <w:rPr>
          <w:rFonts w:hint="eastAsia" w:ascii="宋体" w:hAnsi="宋体"/>
          <w:b/>
          <w:color w:val="auto"/>
          <w:szCs w:val="21"/>
          <w:highlight w:val="none"/>
          <w:u w:val="single"/>
          <w:lang w:val="en-US" w:eastAsia="zh-CN"/>
        </w:rPr>
        <w:t>一</w:t>
      </w:r>
      <w:r>
        <w:rPr>
          <w:rFonts w:hint="eastAsia" w:ascii="宋体" w:hAnsi="宋体"/>
          <w:b/>
          <w:color w:val="auto"/>
          <w:szCs w:val="21"/>
          <w:highlight w:val="none"/>
          <w:u w:val="single"/>
        </w:rPr>
        <w:t xml:space="preserve"> ）</w:t>
      </w:r>
      <w:r>
        <w:rPr>
          <w:rFonts w:hint="eastAsia" w:ascii="宋体" w:hAnsi="宋体"/>
          <w:b/>
          <w:color w:val="auto"/>
          <w:szCs w:val="21"/>
          <w:highlight w:val="none"/>
        </w:rPr>
        <w:t>款）</w:t>
      </w:r>
    </w:p>
    <w:p>
      <w:pPr>
        <w:spacing w:line="480" w:lineRule="exact"/>
        <w:ind w:firstLine="420" w:firstLineChars="200"/>
        <w:rPr>
          <w:rFonts w:ascii="宋体" w:hAnsi="宋体"/>
          <w:color w:val="auto"/>
          <w:szCs w:val="21"/>
        </w:rPr>
      </w:pPr>
      <w:r>
        <w:rPr>
          <w:rFonts w:hint="eastAsia" w:ascii="宋体" w:hAnsi="宋体"/>
          <w:color w:val="auto"/>
          <w:szCs w:val="21"/>
        </w:rPr>
        <w:t>（一）本项目不设履约保证金。</w:t>
      </w:r>
    </w:p>
    <w:p>
      <w:pPr>
        <w:spacing w:line="480" w:lineRule="exact"/>
        <w:ind w:firstLine="420" w:firstLineChars="200"/>
        <w:rPr>
          <w:rFonts w:ascii="宋体" w:hAnsi="宋体"/>
          <w:color w:val="auto"/>
          <w:szCs w:val="21"/>
        </w:rPr>
      </w:pPr>
      <w:r>
        <w:rPr>
          <w:rFonts w:hint="eastAsia" w:ascii="宋体" w:hAnsi="宋体"/>
          <w:color w:val="auto"/>
          <w:szCs w:val="21"/>
        </w:rPr>
        <w:t>（二）履约保证金：</w:t>
      </w:r>
    </w:p>
    <w:p>
      <w:pPr>
        <w:spacing w:line="480" w:lineRule="exact"/>
        <w:ind w:firstLine="420" w:firstLineChars="200"/>
        <w:rPr>
          <w:rFonts w:ascii="宋体" w:hAnsi="宋体"/>
          <w:color w:val="auto"/>
          <w:szCs w:val="21"/>
        </w:rPr>
      </w:pPr>
      <w:r>
        <w:rPr>
          <w:rFonts w:hint="eastAsia" w:ascii="宋体" w:hAnsi="宋体"/>
          <w:color w:val="auto"/>
          <w:szCs w:val="21"/>
        </w:rPr>
        <w:t>1、乙方在签订本合同前5个工作日内，必须交纳履约保证金（以现金形式打入甲方指定的账户）或提交不可撤销履约保函（提供履约保函所产生的费用由乙方自行承担），具体数额不少于合同价款的10%，乙方如逾期未能缴纳履约保证金或提供履约保函的，甲方有权废除乙方的中标资格，并保留没收投标保证金的权利。</w:t>
      </w:r>
    </w:p>
    <w:p>
      <w:pPr>
        <w:spacing w:line="480" w:lineRule="exact"/>
        <w:ind w:firstLine="420" w:firstLineChars="200"/>
        <w:rPr>
          <w:rFonts w:ascii="宋体" w:hAnsi="宋体"/>
          <w:color w:val="auto"/>
          <w:szCs w:val="21"/>
        </w:rPr>
      </w:pPr>
      <w:r>
        <w:rPr>
          <w:rFonts w:hint="eastAsia" w:ascii="宋体" w:hAnsi="宋体"/>
          <w:color w:val="auto"/>
          <w:szCs w:val="21"/>
        </w:rPr>
        <w:t>2、若乙方以履约保函方式担保的，履约保证金按合同金额的10%计取，即¥</w:t>
      </w:r>
      <w:r>
        <w:rPr>
          <w:rFonts w:hint="eastAsia" w:ascii="宋体" w:hAnsi="宋体"/>
          <w:color w:val="auto"/>
          <w:szCs w:val="21"/>
          <w:u w:val="single"/>
        </w:rPr>
        <w:t xml:space="preserve">  </w:t>
      </w:r>
      <w:r>
        <w:rPr>
          <w:rFonts w:ascii="宋体" w:hAnsi="宋体"/>
          <w:color w:val="auto"/>
          <w:szCs w:val="21"/>
          <w:u w:val="single"/>
        </w:rPr>
        <w:t xml:space="preserve">     </w:t>
      </w:r>
      <w:r>
        <w:rPr>
          <w:rFonts w:hint="eastAsia" w:ascii="宋体" w:hAnsi="宋体"/>
          <w:color w:val="auto"/>
          <w:szCs w:val="21"/>
          <w:u w:val="single"/>
        </w:rPr>
        <w:t xml:space="preserve"> </w:t>
      </w:r>
      <w:r>
        <w:rPr>
          <w:rFonts w:hint="eastAsia" w:ascii="宋体" w:hAnsi="宋体"/>
          <w:color w:val="auto"/>
          <w:szCs w:val="21"/>
        </w:rPr>
        <w:t>元(大写：人民币</w:t>
      </w:r>
      <w:r>
        <w:rPr>
          <w:rFonts w:hint="eastAsia" w:ascii="宋体" w:hAnsi="宋体"/>
          <w:color w:val="auto"/>
          <w:szCs w:val="21"/>
          <w:u w:val="single"/>
        </w:rPr>
        <w:t xml:space="preserve">  </w:t>
      </w:r>
      <w:r>
        <w:rPr>
          <w:rFonts w:ascii="宋体" w:hAnsi="宋体"/>
          <w:color w:val="auto"/>
          <w:szCs w:val="21"/>
          <w:u w:val="single"/>
        </w:rPr>
        <w:t xml:space="preserve">      </w:t>
      </w:r>
      <w:r>
        <w:rPr>
          <w:rFonts w:hint="eastAsia" w:ascii="宋体" w:hAnsi="宋体"/>
          <w:color w:val="auto"/>
          <w:szCs w:val="21"/>
          <w:u w:val="single"/>
        </w:rPr>
        <w:t xml:space="preserve"> </w:t>
      </w:r>
      <w:r>
        <w:rPr>
          <w:rFonts w:hint="eastAsia" w:ascii="宋体" w:hAnsi="宋体"/>
          <w:color w:val="auto"/>
          <w:szCs w:val="21"/>
        </w:rPr>
        <w:t xml:space="preserve"> )，若以现金方式担保的，则履约保证金为¥</w:t>
      </w:r>
      <w:r>
        <w:rPr>
          <w:rFonts w:hint="eastAsia" w:ascii="宋体" w:hAnsi="宋体"/>
          <w:color w:val="auto"/>
          <w:szCs w:val="21"/>
          <w:u w:val="single"/>
        </w:rPr>
        <w:t xml:space="preserve">     </w:t>
      </w:r>
      <w:r>
        <w:rPr>
          <w:rFonts w:hint="eastAsia" w:ascii="宋体" w:hAnsi="宋体"/>
          <w:color w:val="auto"/>
          <w:szCs w:val="21"/>
        </w:rPr>
        <w:t>元(大写：人民币</w:t>
      </w:r>
      <w:r>
        <w:rPr>
          <w:rFonts w:hint="eastAsia" w:ascii="宋体" w:hAnsi="宋体"/>
          <w:color w:val="auto"/>
          <w:szCs w:val="21"/>
          <w:u w:val="single"/>
        </w:rPr>
        <w:t xml:space="preserve">    </w:t>
      </w:r>
      <w:r>
        <w:rPr>
          <w:rFonts w:hint="eastAsia" w:ascii="宋体" w:hAnsi="宋体"/>
          <w:color w:val="auto"/>
          <w:szCs w:val="21"/>
        </w:rPr>
        <w:t>)，乙方需在签订本合同前5个工作日内将上述款项转至甲方帐户或提供银行履约保函，若乙方未及时缴纳履约保证金，甲方将在第一笔工程请款中扣收。</w:t>
      </w:r>
    </w:p>
    <w:p>
      <w:pPr>
        <w:spacing w:line="480" w:lineRule="exact"/>
        <w:ind w:firstLine="420" w:firstLineChars="200"/>
        <w:rPr>
          <w:rFonts w:ascii="宋体" w:hAnsi="宋体"/>
          <w:color w:val="auto"/>
          <w:szCs w:val="21"/>
        </w:rPr>
      </w:pPr>
      <w:r>
        <w:rPr>
          <w:rFonts w:hint="eastAsia" w:ascii="宋体" w:hAnsi="宋体"/>
          <w:color w:val="auto"/>
          <w:szCs w:val="21"/>
        </w:rPr>
        <w:t>单位名称：</w:t>
      </w:r>
      <w:r>
        <w:rPr>
          <w:rFonts w:hint="eastAsia" w:ascii="宋体" w:hAnsi="宋体"/>
          <w:color w:val="auto"/>
          <w:szCs w:val="21"/>
          <w:u w:val="single"/>
        </w:rPr>
        <w:t xml:space="preserve"> 东莞市莞城建筑工程有限公司   </w:t>
      </w:r>
    </w:p>
    <w:p>
      <w:pPr>
        <w:spacing w:line="480" w:lineRule="exact"/>
        <w:ind w:firstLine="420" w:firstLineChars="200"/>
        <w:rPr>
          <w:rFonts w:ascii="宋体" w:hAnsi="宋体"/>
          <w:color w:val="auto"/>
          <w:szCs w:val="21"/>
        </w:rPr>
      </w:pPr>
      <w:r>
        <w:rPr>
          <w:rFonts w:hint="eastAsia" w:ascii="宋体" w:hAnsi="宋体"/>
          <w:color w:val="auto"/>
          <w:szCs w:val="21"/>
        </w:rPr>
        <w:t>开户银行：</w:t>
      </w:r>
      <w:r>
        <w:rPr>
          <w:rFonts w:hint="eastAsia" w:ascii="宋体" w:hAnsi="宋体"/>
          <w:color w:val="auto"/>
          <w:szCs w:val="21"/>
          <w:u w:val="single"/>
        </w:rPr>
        <w:t xml:space="preserve"> 东莞农村商业银行莞城罗沙支行  </w:t>
      </w:r>
    </w:p>
    <w:p>
      <w:pPr>
        <w:spacing w:line="480" w:lineRule="exact"/>
        <w:ind w:firstLine="420" w:firstLineChars="200"/>
        <w:rPr>
          <w:rFonts w:ascii="宋体" w:hAnsi="宋体"/>
          <w:color w:val="auto"/>
          <w:szCs w:val="21"/>
        </w:rPr>
      </w:pPr>
      <w:r>
        <w:rPr>
          <w:rFonts w:hint="eastAsia" w:ascii="宋体" w:hAnsi="宋体"/>
          <w:color w:val="auto"/>
          <w:szCs w:val="21"/>
        </w:rPr>
        <w:t>账  号：</w:t>
      </w:r>
      <w:r>
        <w:rPr>
          <w:rFonts w:hint="eastAsia" w:ascii="宋体" w:hAnsi="宋体"/>
          <w:color w:val="auto"/>
          <w:szCs w:val="21"/>
          <w:u w:val="single"/>
        </w:rPr>
        <w:t xml:space="preserve"> 310070190010006106 </w:t>
      </w:r>
    </w:p>
    <w:p>
      <w:pPr>
        <w:spacing w:line="480" w:lineRule="exact"/>
        <w:ind w:firstLine="420" w:firstLineChars="200"/>
        <w:rPr>
          <w:rFonts w:ascii="宋体" w:hAnsi="宋体"/>
          <w:color w:val="auto"/>
          <w:szCs w:val="21"/>
        </w:rPr>
      </w:pPr>
      <w:r>
        <w:rPr>
          <w:rFonts w:hint="eastAsia" w:ascii="宋体" w:hAnsi="宋体"/>
          <w:color w:val="auto"/>
          <w:szCs w:val="21"/>
        </w:rPr>
        <w:t>3、履约担保的有效期</w:t>
      </w:r>
    </w:p>
    <w:p>
      <w:pPr>
        <w:spacing w:line="480" w:lineRule="exact"/>
        <w:ind w:firstLine="420" w:firstLineChars="200"/>
        <w:rPr>
          <w:rFonts w:ascii="宋体" w:hAnsi="宋体"/>
          <w:color w:val="auto"/>
          <w:szCs w:val="21"/>
        </w:rPr>
      </w:pPr>
      <w:r>
        <w:rPr>
          <w:rFonts w:hint="eastAsia" w:ascii="宋体" w:hAnsi="宋体"/>
          <w:color w:val="auto"/>
          <w:szCs w:val="21"/>
        </w:rPr>
        <w:t>从合同签订之日起到乙方按照甲方要求完成竣工图纸编制，经合同双方签字确定后7日内保持有效。</w:t>
      </w:r>
    </w:p>
    <w:p>
      <w:pPr>
        <w:spacing w:line="480" w:lineRule="exact"/>
        <w:ind w:firstLine="420" w:firstLineChars="200"/>
        <w:rPr>
          <w:rFonts w:ascii="宋体" w:hAnsi="宋体"/>
          <w:color w:val="auto"/>
          <w:szCs w:val="21"/>
        </w:rPr>
      </w:pPr>
      <w:r>
        <w:rPr>
          <w:rFonts w:hint="eastAsia" w:ascii="宋体" w:hAnsi="宋体"/>
          <w:color w:val="auto"/>
          <w:szCs w:val="21"/>
        </w:rPr>
        <w:t>4、现金履约保证金的退还</w:t>
      </w:r>
    </w:p>
    <w:p>
      <w:pPr>
        <w:spacing w:line="480" w:lineRule="exact"/>
        <w:ind w:firstLine="420" w:firstLineChars="200"/>
        <w:rPr>
          <w:rFonts w:hint="eastAsia" w:ascii="宋体" w:hAnsi="宋体"/>
          <w:color w:val="auto"/>
          <w:szCs w:val="21"/>
        </w:rPr>
      </w:pPr>
      <w:r>
        <w:rPr>
          <w:rFonts w:hint="eastAsia" w:ascii="宋体" w:hAnsi="宋体"/>
          <w:color w:val="auto"/>
          <w:szCs w:val="21"/>
        </w:rPr>
        <w:t>乙方向甲方缴纳的上述履约保证金，在工程完工并验收合格后且经使用方确认工程交工15天内，甲方退回上述履约保证金的50%给乙方。剩余50%的履约保证金乙方需完成竣工图纸编制并验收合格，甲方收到乙方的请款申请后15天内方可退回给乙方（如提请</w:t>
      </w:r>
      <w:r>
        <w:rPr>
          <w:rFonts w:hint="eastAsia" w:ascii="宋体" w:hAnsi="宋体"/>
          <w:bCs/>
          <w:color w:val="auto"/>
          <w:szCs w:val="21"/>
        </w:rPr>
        <w:t>分部分项</w:t>
      </w:r>
      <w:r>
        <w:rPr>
          <w:rFonts w:hint="eastAsia" w:ascii="宋体" w:hAnsi="宋体"/>
          <w:color w:val="auto"/>
          <w:szCs w:val="21"/>
        </w:rPr>
        <w:t>验收后一个月内乙方无法配合甲方完成竣工图纸，将由甲方组织编制竣工图，所产生的相关费用从剩余50%履约保证金中扣除，不足以扣除的部分，甲方有权从乙方的工程款或质保金中扣除），履约保证金均以不计取利息的方式退还给乙方。</w:t>
      </w:r>
    </w:p>
    <w:p>
      <w:pPr>
        <w:spacing w:line="480" w:lineRule="exact"/>
        <w:ind w:right="-210" w:rightChars="-100" w:firstLine="420" w:firstLineChars="200"/>
        <w:rPr>
          <w:color w:val="auto"/>
        </w:rPr>
      </w:pPr>
      <w:r>
        <w:rPr>
          <w:rFonts w:hint="eastAsia" w:ascii="宋体" w:hAnsi="宋体"/>
          <w:color w:val="auto"/>
          <w:szCs w:val="21"/>
        </w:rPr>
        <w:t>乙方因违约需向甲方支付的违约金、损失赔偿款、罚款等款项，甲方均有权从乙方的履约保证金、应付工程款、质保金中予以扣减。若因乙方原因导致本合同提前终止、解除或无效的，则甲方有权没收履约保证金，不予退还。</w:t>
      </w:r>
    </w:p>
    <w:p>
      <w:pPr>
        <w:spacing w:line="480" w:lineRule="exact"/>
        <w:ind w:firstLine="422" w:firstLineChars="200"/>
        <w:rPr>
          <w:rFonts w:ascii="宋体" w:hAnsi="宋体"/>
          <w:b/>
          <w:color w:val="auto"/>
          <w:szCs w:val="21"/>
        </w:rPr>
      </w:pPr>
      <w:r>
        <w:rPr>
          <w:rFonts w:hint="eastAsia" w:ascii="宋体" w:hAnsi="宋体"/>
          <w:b/>
          <w:color w:val="auto"/>
          <w:szCs w:val="21"/>
        </w:rPr>
        <w:t>第十</w:t>
      </w:r>
      <w:r>
        <w:rPr>
          <w:rFonts w:hint="eastAsia" w:ascii="宋体" w:hAnsi="宋体"/>
          <w:b/>
          <w:color w:val="auto"/>
          <w:szCs w:val="21"/>
        </w:rPr>
        <w:t>三条  保修期</w:t>
      </w:r>
    </w:p>
    <w:p>
      <w:pPr>
        <w:spacing w:line="480" w:lineRule="exact"/>
        <w:ind w:left="-2" w:leftChars="-1" w:firstLine="420" w:firstLineChars="200"/>
        <w:rPr>
          <w:rFonts w:ascii="宋体" w:hAnsi="宋体"/>
          <w:color w:val="auto"/>
          <w:szCs w:val="21"/>
        </w:rPr>
      </w:pPr>
      <w:r>
        <w:rPr>
          <w:rFonts w:hint="eastAsia" w:ascii="宋体" w:hAnsi="宋体"/>
          <w:color w:val="auto"/>
          <w:szCs w:val="21"/>
        </w:rPr>
        <w:t>1、本工程的保修期为</w:t>
      </w:r>
      <w:r>
        <w:rPr>
          <w:rFonts w:hint="eastAsia" w:ascii="宋体" w:hAnsi="宋体"/>
          <w:color w:val="auto"/>
          <w:szCs w:val="21"/>
          <w:u w:val="single"/>
        </w:rPr>
        <w:t xml:space="preserve">  </w:t>
      </w:r>
      <w:r>
        <w:rPr>
          <w:rFonts w:hint="eastAsia" w:ascii="宋体" w:hAnsi="宋体"/>
          <w:color w:val="auto"/>
          <w:szCs w:val="21"/>
          <w:u w:val="single"/>
          <w:lang w:val="en-US" w:eastAsia="zh-CN"/>
        </w:rPr>
        <w:t>2</w:t>
      </w:r>
      <w:r>
        <w:rPr>
          <w:rFonts w:hint="eastAsia" w:ascii="宋体" w:hAnsi="宋体"/>
          <w:color w:val="auto"/>
          <w:szCs w:val="21"/>
          <w:u w:val="single"/>
        </w:rPr>
        <w:t xml:space="preserve">  </w:t>
      </w:r>
      <w:r>
        <w:rPr>
          <w:rFonts w:hint="eastAsia" w:ascii="宋体" w:hAnsi="宋体"/>
          <w:color w:val="auto"/>
          <w:szCs w:val="21"/>
        </w:rPr>
        <w:t>年，保修期自工程</w:t>
      </w:r>
      <w:r>
        <w:rPr>
          <w:rFonts w:hint="eastAsia" w:ascii="宋体" w:hAnsi="宋体"/>
          <w:bCs/>
          <w:color w:val="auto"/>
          <w:szCs w:val="21"/>
        </w:rPr>
        <w:t>分部分项</w:t>
      </w:r>
      <w:r>
        <w:rPr>
          <w:rFonts w:hint="eastAsia" w:ascii="宋体" w:hAnsi="宋体"/>
          <w:color w:val="auto"/>
          <w:szCs w:val="21"/>
        </w:rPr>
        <w:t>验收合格(包括工程</w:t>
      </w:r>
      <w:r>
        <w:rPr>
          <w:rFonts w:hint="eastAsia" w:ascii="宋体" w:hAnsi="宋体"/>
          <w:bCs/>
          <w:color w:val="auto"/>
          <w:szCs w:val="21"/>
        </w:rPr>
        <w:t>分部分项</w:t>
      </w:r>
      <w:r>
        <w:rPr>
          <w:rFonts w:hint="eastAsia" w:ascii="宋体" w:hAnsi="宋体"/>
          <w:color w:val="auto"/>
          <w:szCs w:val="21"/>
        </w:rPr>
        <w:t>验收[即政府质监部门备案的工程竣工质量报告]（如需）、工程竣工四方验收，并以该两份文件所标示的最后日期为基准)并移交甲方之日起计算。</w:t>
      </w:r>
    </w:p>
    <w:p>
      <w:pPr>
        <w:spacing w:line="480" w:lineRule="exact"/>
        <w:ind w:left="-2" w:leftChars="-1" w:firstLine="420" w:firstLineChars="200"/>
        <w:rPr>
          <w:rFonts w:ascii="宋体" w:hAnsi="宋体"/>
          <w:color w:val="auto"/>
          <w:szCs w:val="21"/>
        </w:rPr>
      </w:pPr>
      <w:r>
        <w:rPr>
          <w:rFonts w:hint="eastAsia" w:ascii="宋体" w:hAnsi="宋体"/>
          <w:color w:val="auto"/>
          <w:szCs w:val="21"/>
        </w:rPr>
        <w:t>2、保修期内，乙方必须及时处理甲方提出的质量问题，凡因乙方施工造成的质量问题，乙方自甲方通知送达之日起</w:t>
      </w:r>
      <w:r>
        <w:rPr>
          <w:rFonts w:hint="eastAsia" w:ascii="宋体" w:hAnsi="宋体"/>
          <w:color w:val="auto"/>
          <w:szCs w:val="21"/>
          <w:u w:val="single"/>
        </w:rPr>
        <w:t xml:space="preserve"> 7  </w:t>
      </w:r>
      <w:r>
        <w:rPr>
          <w:rFonts w:hint="eastAsia" w:ascii="宋体" w:hAnsi="宋体"/>
          <w:color w:val="auto"/>
          <w:szCs w:val="21"/>
        </w:rPr>
        <w:t>日内，应无条件予以免费维修完毕。否则，甲方有权另派施工队伍施工、维修，一切费用在保修金内扣除，超出保修金的部分，甲方有权向乙方追偿。</w:t>
      </w:r>
    </w:p>
    <w:p>
      <w:pPr>
        <w:spacing w:line="480" w:lineRule="exact"/>
        <w:ind w:left="16"/>
        <w:rPr>
          <w:rFonts w:ascii="宋体" w:hAnsi="宋体"/>
          <w:b/>
          <w:color w:val="auto"/>
          <w:szCs w:val="21"/>
        </w:rPr>
      </w:pPr>
      <w:r>
        <w:rPr>
          <w:rFonts w:hint="eastAsia" w:ascii="宋体" w:hAnsi="宋体"/>
          <w:b/>
          <w:color w:val="auto"/>
          <w:szCs w:val="21"/>
        </w:rPr>
        <w:t>第十四条  双方义务</w:t>
      </w:r>
    </w:p>
    <w:p>
      <w:pPr>
        <w:spacing w:line="480" w:lineRule="exact"/>
        <w:ind w:left="-105" w:leftChars="-50" w:firstLine="211" w:firstLineChars="100"/>
        <w:outlineLvl w:val="0"/>
        <w:rPr>
          <w:rFonts w:ascii="宋体" w:hAnsi="宋体"/>
          <w:b/>
          <w:bCs/>
          <w:color w:val="auto"/>
          <w:szCs w:val="21"/>
        </w:rPr>
      </w:pPr>
      <w:r>
        <w:rPr>
          <w:rFonts w:hint="eastAsia" w:ascii="宋体" w:hAnsi="宋体"/>
          <w:b/>
          <w:bCs/>
          <w:color w:val="auto"/>
          <w:szCs w:val="21"/>
        </w:rPr>
        <w:t>（一）甲方义务</w:t>
      </w:r>
    </w:p>
    <w:p>
      <w:pPr>
        <w:spacing w:line="480" w:lineRule="exact"/>
        <w:ind w:firstLine="327" w:firstLineChars="156"/>
        <w:rPr>
          <w:rFonts w:ascii="宋体" w:hAnsi="宋体"/>
          <w:color w:val="auto"/>
          <w:szCs w:val="21"/>
        </w:rPr>
      </w:pPr>
      <w:r>
        <w:rPr>
          <w:rFonts w:ascii="宋体" w:hAnsi="宋体"/>
          <w:color w:val="auto"/>
          <w:szCs w:val="21"/>
        </w:rPr>
        <w:t>1</w:t>
      </w:r>
      <w:r>
        <w:rPr>
          <w:rFonts w:hint="eastAsia" w:ascii="宋体" w:hAnsi="宋体"/>
          <w:color w:val="auto"/>
          <w:szCs w:val="21"/>
        </w:rPr>
        <w:t>、委派现场代表</w:t>
      </w:r>
      <w:r>
        <w:rPr>
          <w:rFonts w:hint="eastAsia"/>
          <w:b/>
          <w:color w:val="auto"/>
          <w:kern w:val="0"/>
          <w:szCs w:val="21"/>
          <w:u w:val="single"/>
        </w:rPr>
        <w:t xml:space="preserve">      </w:t>
      </w:r>
      <w:r>
        <w:rPr>
          <w:rFonts w:hint="eastAsia" w:ascii="宋体" w:hAnsi="宋体"/>
          <w:color w:val="auto"/>
          <w:szCs w:val="21"/>
        </w:rPr>
        <w:t>负责对工程建设进行全面管理，解决施工过程中出现的需要甲方协调的相关问题，并参与工程的初验、各种验收和签证工作。如变更现场代表应及时通知乙方。</w:t>
      </w:r>
    </w:p>
    <w:p>
      <w:pPr>
        <w:spacing w:line="480" w:lineRule="exact"/>
        <w:ind w:firstLine="327" w:firstLineChars="156"/>
        <w:rPr>
          <w:rFonts w:ascii="宋体" w:hAnsi="宋体"/>
          <w:color w:val="auto"/>
          <w:szCs w:val="21"/>
        </w:rPr>
      </w:pPr>
      <w:r>
        <w:rPr>
          <w:rFonts w:hint="eastAsia" w:ascii="宋体" w:hAnsi="宋体"/>
          <w:color w:val="auto"/>
          <w:szCs w:val="21"/>
        </w:rPr>
        <w:t>2、向乙方提供施工场地，保证运输道路畅通，同时提供现场施工用水、用电接驳点，水电费按实结算从乙方工程款中扣除。</w:t>
      </w:r>
    </w:p>
    <w:p>
      <w:pPr>
        <w:spacing w:line="480" w:lineRule="exact"/>
        <w:ind w:firstLine="327" w:firstLineChars="156"/>
        <w:rPr>
          <w:rFonts w:ascii="宋体" w:hAnsi="宋体"/>
          <w:color w:val="auto"/>
          <w:szCs w:val="21"/>
        </w:rPr>
      </w:pPr>
      <w:r>
        <w:rPr>
          <w:rFonts w:hint="eastAsia" w:ascii="宋体" w:hAnsi="宋体"/>
          <w:color w:val="auto"/>
          <w:szCs w:val="21"/>
        </w:rPr>
        <w:t>3、提供本项目施工图纸，负责组织图纸会审和设计交底。</w:t>
      </w:r>
    </w:p>
    <w:p>
      <w:pPr>
        <w:spacing w:line="480" w:lineRule="exact"/>
        <w:ind w:firstLine="327" w:firstLineChars="156"/>
        <w:rPr>
          <w:rFonts w:ascii="宋体" w:hAnsi="宋体"/>
          <w:color w:val="auto"/>
          <w:szCs w:val="21"/>
        </w:rPr>
      </w:pPr>
      <w:r>
        <w:rPr>
          <w:rFonts w:hint="eastAsia" w:ascii="宋体" w:hAnsi="宋体"/>
          <w:color w:val="auto"/>
          <w:szCs w:val="21"/>
        </w:rPr>
        <w:t>4、及时对工程进度、工程质量进行监督检查，参加材料报验、样板验收、组织工程的初验，接乙方书面通知起</w:t>
      </w:r>
      <w:r>
        <w:rPr>
          <w:rFonts w:hint="eastAsia" w:ascii="宋体" w:hAnsi="宋体"/>
          <w:color w:val="auto"/>
          <w:szCs w:val="21"/>
          <w:u w:val="single"/>
        </w:rPr>
        <w:t xml:space="preserve">  3 </w:t>
      </w:r>
      <w:r>
        <w:rPr>
          <w:rFonts w:hint="eastAsia" w:ascii="宋体" w:hAnsi="宋体"/>
          <w:color w:val="auto"/>
          <w:szCs w:val="21"/>
        </w:rPr>
        <w:t>个工作小时内参加隐蔽工程验收。</w:t>
      </w:r>
    </w:p>
    <w:p>
      <w:pPr>
        <w:spacing w:line="480" w:lineRule="exact"/>
        <w:ind w:firstLine="327" w:firstLineChars="156"/>
        <w:rPr>
          <w:rFonts w:ascii="宋体" w:hAnsi="宋体"/>
          <w:color w:val="auto"/>
          <w:szCs w:val="21"/>
        </w:rPr>
      </w:pPr>
      <w:r>
        <w:rPr>
          <w:rFonts w:hint="eastAsia" w:ascii="宋体" w:hAnsi="宋体"/>
          <w:color w:val="auto"/>
          <w:szCs w:val="21"/>
        </w:rPr>
        <w:t>5、接乙方书面工程</w:t>
      </w:r>
      <w:r>
        <w:rPr>
          <w:rFonts w:hint="eastAsia" w:ascii="宋体" w:hAnsi="宋体"/>
          <w:bCs/>
          <w:color w:val="auto"/>
          <w:szCs w:val="21"/>
        </w:rPr>
        <w:t>分部分项</w:t>
      </w:r>
      <w:r>
        <w:rPr>
          <w:rFonts w:hint="eastAsia" w:ascii="宋体" w:hAnsi="宋体"/>
          <w:color w:val="auto"/>
          <w:szCs w:val="21"/>
        </w:rPr>
        <w:t>验收通知后应在</w:t>
      </w:r>
      <w:r>
        <w:rPr>
          <w:rFonts w:hint="eastAsia" w:ascii="宋体" w:hAnsi="宋体"/>
          <w:color w:val="auto"/>
          <w:szCs w:val="21"/>
          <w:u w:val="single"/>
        </w:rPr>
        <w:t xml:space="preserve">  2 </w:t>
      </w:r>
      <w:r>
        <w:rPr>
          <w:rFonts w:hint="eastAsia" w:ascii="宋体" w:hAnsi="宋体"/>
          <w:color w:val="auto"/>
          <w:szCs w:val="21"/>
        </w:rPr>
        <w:t>个工作日内组织</w:t>
      </w:r>
      <w:r>
        <w:rPr>
          <w:rFonts w:hint="eastAsia" w:ascii="宋体" w:hAnsi="宋体"/>
          <w:bCs/>
          <w:color w:val="auto"/>
          <w:szCs w:val="21"/>
        </w:rPr>
        <w:t>分部分项</w:t>
      </w:r>
      <w:r>
        <w:rPr>
          <w:rFonts w:hint="eastAsia" w:ascii="宋体" w:hAnsi="宋体"/>
          <w:color w:val="auto"/>
          <w:szCs w:val="21"/>
        </w:rPr>
        <w:t>验收。</w:t>
      </w:r>
    </w:p>
    <w:p>
      <w:pPr>
        <w:spacing w:line="480" w:lineRule="exact"/>
        <w:ind w:firstLine="327" w:firstLineChars="156"/>
        <w:rPr>
          <w:rFonts w:ascii="宋体" w:hAnsi="宋体"/>
          <w:color w:val="auto"/>
          <w:szCs w:val="21"/>
        </w:rPr>
      </w:pPr>
      <w:r>
        <w:rPr>
          <w:rFonts w:hint="eastAsia" w:ascii="宋体" w:hAnsi="宋体"/>
          <w:color w:val="auto"/>
          <w:szCs w:val="21"/>
        </w:rPr>
        <w:t>6、对于工程变更申请，应在收到乙方书面材料起</w:t>
      </w:r>
      <w:r>
        <w:rPr>
          <w:rFonts w:hint="eastAsia" w:ascii="宋体" w:hAnsi="宋体"/>
          <w:color w:val="auto"/>
          <w:szCs w:val="21"/>
          <w:u w:val="single"/>
        </w:rPr>
        <w:t xml:space="preserve">  2 </w:t>
      </w:r>
      <w:r>
        <w:rPr>
          <w:rFonts w:hint="eastAsia" w:ascii="宋体" w:hAnsi="宋体"/>
          <w:color w:val="auto"/>
          <w:szCs w:val="21"/>
        </w:rPr>
        <w:t>个工作日内进行审批或确认，办理有关的签证。</w:t>
      </w:r>
    </w:p>
    <w:p>
      <w:pPr>
        <w:spacing w:line="480" w:lineRule="exact"/>
        <w:ind w:firstLine="327" w:firstLineChars="156"/>
        <w:rPr>
          <w:rFonts w:ascii="宋体" w:hAnsi="宋体"/>
          <w:color w:val="auto"/>
          <w:szCs w:val="21"/>
        </w:rPr>
      </w:pPr>
      <w:r>
        <w:rPr>
          <w:rFonts w:hint="eastAsia" w:ascii="宋体" w:hAnsi="宋体"/>
          <w:color w:val="auto"/>
          <w:szCs w:val="21"/>
        </w:rPr>
        <w:t>7、接乙方提供工程进度报表后</w:t>
      </w:r>
      <w:r>
        <w:rPr>
          <w:rFonts w:hint="eastAsia" w:ascii="宋体" w:hAnsi="宋体"/>
          <w:color w:val="auto"/>
          <w:szCs w:val="21"/>
          <w:u w:val="single"/>
        </w:rPr>
        <w:t xml:space="preserve"> 2  </w:t>
      </w:r>
      <w:r>
        <w:rPr>
          <w:rFonts w:hint="eastAsia" w:ascii="宋体" w:hAnsi="宋体"/>
          <w:color w:val="auto"/>
          <w:szCs w:val="21"/>
        </w:rPr>
        <w:t>个工作日内审批并确认工程施工进度，并按合同约定支付合同款项。</w:t>
      </w:r>
    </w:p>
    <w:p>
      <w:pPr>
        <w:spacing w:line="480" w:lineRule="exact"/>
        <w:ind w:firstLine="327" w:firstLineChars="156"/>
        <w:rPr>
          <w:rFonts w:ascii="宋体" w:hAnsi="宋体"/>
          <w:color w:val="auto"/>
          <w:szCs w:val="21"/>
        </w:rPr>
      </w:pPr>
      <w:r>
        <w:rPr>
          <w:rFonts w:hint="eastAsia" w:ascii="宋体" w:hAnsi="宋体"/>
          <w:color w:val="auto"/>
          <w:szCs w:val="21"/>
        </w:rPr>
        <w:t>8、负责协调乙方与其他各承包单位的关系，并协助解决材料堆放场地，如材料堆放场地产生费用的，费用由乙方承担。</w:t>
      </w:r>
    </w:p>
    <w:p>
      <w:pPr>
        <w:spacing w:line="480" w:lineRule="exact"/>
        <w:ind w:firstLine="327" w:firstLineChars="156"/>
        <w:rPr>
          <w:rFonts w:ascii="宋体" w:hAnsi="宋体"/>
          <w:color w:val="auto"/>
          <w:szCs w:val="21"/>
          <w:u w:val="single"/>
        </w:rPr>
      </w:pPr>
      <w:r>
        <w:rPr>
          <w:rFonts w:hint="eastAsia" w:ascii="宋体" w:hAnsi="宋体"/>
          <w:color w:val="auto"/>
          <w:szCs w:val="21"/>
        </w:rPr>
        <w:t>9、按相关规定办理施工所需证件、手续，提供有关的资料，包括：</w:t>
      </w:r>
      <w:r>
        <w:rPr>
          <w:rFonts w:hint="eastAsia" w:ascii="宋体" w:hAnsi="宋体"/>
          <w:color w:val="auto"/>
          <w:spacing w:val="-9"/>
          <w:szCs w:val="21"/>
          <w:u w:val="single"/>
        </w:rPr>
        <w:t>按工程所在地的建设行政主管部门的有关文件及规定办理</w:t>
      </w:r>
      <w:r>
        <w:rPr>
          <w:rFonts w:hint="eastAsia" w:ascii="宋体" w:hAnsi="宋体"/>
          <w:color w:val="auto"/>
          <w:szCs w:val="21"/>
          <w:u w:val="single"/>
        </w:rPr>
        <w:t>。</w:t>
      </w:r>
    </w:p>
    <w:p>
      <w:pPr>
        <w:spacing w:line="480" w:lineRule="exact"/>
        <w:ind w:firstLine="327" w:firstLineChars="156"/>
        <w:rPr>
          <w:rFonts w:ascii="宋体" w:hAnsi="宋体"/>
          <w:color w:val="auto"/>
          <w:szCs w:val="21"/>
        </w:rPr>
      </w:pPr>
      <w:r>
        <w:rPr>
          <w:rFonts w:hint="eastAsia" w:ascii="宋体" w:hAnsi="宋体"/>
          <w:color w:val="auto"/>
          <w:szCs w:val="21"/>
        </w:rPr>
        <w:t>10、甲方在收到乙方所提交的竣工结算书及完整的竣工结算资料后，应在28天内通知乙方核对工程价款并于工程</w:t>
      </w:r>
      <w:r>
        <w:rPr>
          <w:rFonts w:hint="eastAsia" w:ascii="宋体" w:hAnsi="宋体"/>
          <w:bCs/>
          <w:color w:val="auto"/>
          <w:szCs w:val="21"/>
        </w:rPr>
        <w:t>分部分项</w:t>
      </w:r>
      <w:r>
        <w:rPr>
          <w:rFonts w:hint="eastAsia" w:ascii="宋体" w:hAnsi="宋体"/>
          <w:color w:val="auto"/>
          <w:szCs w:val="21"/>
        </w:rPr>
        <w:t>验收合格（如需）、工程竣工四方验收并以该两份文件所标示的最后日期为基准)后的六个月内完成结算。</w:t>
      </w:r>
    </w:p>
    <w:p>
      <w:pPr>
        <w:spacing w:line="480" w:lineRule="exact"/>
        <w:ind w:firstLine="211" w:firstLineChars="100"/>
        <w:outlineLvl w:val="0"/>
        <w:rPr>
          <w:rFonts w:ascii="宋体" w:hAnsi="宋体"/>
          <w:b/>
          <w:color w:val="auto"/>
          <w:szCs w:val="21"/>
        </w:rPr>
      </w:pPr>
      <w:r>
        <w:rPr>
          <w:rFonts w:hint="eastAsia" w:ascii="宋体" w:hAnsi="宋体"/>
          <w:b/>
          <w:color w:val="auto"/>
          <w:szCs w:val="21"/>
        </w:rPr>
        <w:t>（二）乙方义务</w:t>
      </w:r>
    </w:p>
    <w:p>
      <w:pPr>
        <w:spacing w:line="480" w:lineRule="exact"/>
        <w:ind w:firstLine="420" w:firstLineChars="200"/>
        <w:rPr>
          <w:rFonts w:ascii="宋体" w:hAnsi="宋体"/>
          <w:color w:val="auto"/>
          <w:szCs w:val="21"/>
        </w:rPr>
      </w:pPr>
      <w:r>
        <w:rPr>
          <w:rFonts w:hint="eastAsia" w:ascii="宋体" w:hAnsi="宋体"/>
          <w:color w:val="auto"/>
          <w:szCs w:val="21"/>
        </w:rPr>
        <w:t>1、委派现场代表</w:t>
      </w:r>
      <w:r>
        <w:rPr>
          <w:rFonts w:hint="eastAsia" w:ascii="宋体" w:hAnsi="宋体"/>
          <w:color w:val="auto"/>
          <w:szCs w:val="21"/>
          <w:u w:val="single"/>
        </w:rPr>
        <w:t xml:space="preserve">      </w:t>
      </w:r>
      <w:r>
        <w:rPr>
          <w:rFonts w:hint="eastAsia" w:ascii="宋体" w:hAnsi="宋体"/>
          <w:color w:val="auto"/>
          <w:szCs w:val="21"/>
        </w:rPr>
        <w:t>负责施工期间的全面管理，如变更现场代表应事先经甲方书面同意。</w:t>
      </w:r>
    </w:p>
    <w:p>
      <w:pPr>
        <w:spacing w:line="480" w:lineRule="exact"/>
        <w:ind w:firstLine="420" w:firstLineChars="200"/>
        <w:rPr>
          <w:rFonts w:ascii="宋体" w:hAnsi="宋体"/>
          <w:color w:val="auto"/>
          <w:szCs w:val="21"/>
        </w:rPr>
      </w:pPr>
      <w:r>
        <w:rPr>
          <w:rFonts w:hint="eastAsia" w:ascii="宋体" w:hAnsi="宋体"/>
          <w:color w:val="auto"/>
          <w:szCs w:val="21"/>
        </w:rPr>
        <w:t>2、根据甲方确认的施工图纸，按照本合同约定完成承包范围内的施工工作，并按甲方要求的格式书面提请办理验收和确认手续。</w:t>
      </w:r>
    </w:p>
    <w:p>
      <w:pPr>
        <w:autoSpaceDE w:val="0"/>
        <w:autoSpaceDN w:val="0"/>
        <w:adjustRightInd w:val="0"/>
        <w:spacing w:line="480" w:lineRule="exact"/>
        <w:ind w:firstLine="420" w:firstLineChars="200"/>
        <w:rPr>
          <w:rFonts w:ascii="宋体" w:hAnsi="宋体"/>
          <w:color w:val="auto"/>
          <w:szCs w:val="21"/>
        </w:rPr>
      </w:pPr>
      <w:r>
        <w:rPr>
          <w:rFonts w:hint="eastAsia" w:ascii="宋体" w:hAnsi="宋体"/>
          <w:color w:val="auto"/>
          <w:szCs w:val="21"/>
        </w:rPr>
        <w:t>3、工程项目开工应提前三个工作日将完整的施工组织设计、网络图和施工技术措施和工程主要负责人名单报甲方确认、备案，</w:t>
      </w:r>
      <w:r>
        <w:rPr>
          <w:rFonts w:hint="eastAsia" w:ascii="宋体" w:hAnsi="宋体"/>
          <w:color w:val="auto"/>
          <w:sz w:val="22"/>
          <w:szCs w:val="22"/>
        </w:rPr>
        <w:t>其中配备人员技术负责人</w:t>
      </w:r>
      <w:r>
        <w:rPr>
          <w:rFonts w:hint="eastAsia" w:ascii="宋体" w:hAnsi="宋体"/>
          <w:color w:val="auto"/>
          <w:sz w:val="22"/>
          <w:szCs w:val="22"/>
          <w:u w:val="single"/>
        </w:rPr>
        <w:t xml:space="preserve">    </w:t>
      </w:r>
      <w:r>
        <w:rPr>
          <w:rFonts w:hint="eastAsia" w:ascii="宋体" w:hAnsi="宋体"/>
          <w:color w:val="auto"/>
          <w:sz w:val="22"/>
          <w:szCs w:val="22"/>
        </w:rPr>
        <w:t>名、生产经理</w:t>
      </w:r>
      <w:r>
        <w:rPr>
          <w:rFonts w:hint="eastAsia" w:ascii="宋体" w:hAnsi="宋体"/>
          <w:color w:val="auto"/>
          <w:sz w:val="22"/>
          <w:szCs w:val="22"/>
          <w:u w:val="single"/>
        </w:rPr>
        <w:t xml:space="preserve">    </w:t>
      </w:r>
      <w:r>
        <w:rPr>
          <w:rFonts w:hint="eastAsia" w:ascii="宋体" w:hAnsi="宋体"/>
          <w:color w:val="auto"/>
          <w:sz w:val="22"/>
          <w:szCs w:val="22"/>
        </w:rPr>
        <w:t>名、安全员（持证）、资料员各</w:t>
      </w:r>
      <w:r>
        <w:rPr>
          <w:rFonts w:hint="eastAsia" w:ascii="宋体" w:hAnsi="宋体"/>
          <w:color w:val="auto"/>
          <w:sz w:val="22"/>
          <w:szCs w:val="22"/>
          <w:u w:val="single"/>
        </w:rPr>
        <w:t xml:space="preserve">    </w:t>
      </w:r>
      <w:r>
        <w:rPr>
          <w:rFonts w:hint="eastAsia" w:ascii="宋体" w:hAnsi="宋体"/>
          <w:color w:val="auto"/>
          <w:sz w:val="22"/>
          <w:szCs w:val="22"/>
        </w:rPr>
        <w:t>名</w:t>
      </w:r>
      <w:r>
        <w:rPr>
          <w:rFonts w:hint="eastAsia" w:ascii="宋体" w:hAnsi="宋体"/>
          <w:color w:val="auto"/>
          <w:sz w:val="22"/>
          <w:szCs w:val="22"/>
        </w:rPr>
        <w:t>，</w:t>
      </w:r>
      <w:r>
        <w:rPr>
          <w:rFonts w:hint="eastAsia" w:ascii="宋体" w:hAnsi="宋体"/>
          <w:color w:val="auto"/>
          <w:szCs w:val="21"/>
        </w:rPr>
        <w:t>如乙方更换工程主要负责人，应事先征得甲方书面同意。</w:t>
      </w:r>
      <w:r>
        <w:rPr>
          <w:rFonts w:hint="eastAsia" w:ascii="宋体" w:hAnsi="宋体"/>
          <w:color w:val="auto"/>
          <w:szCs w:val="21"/>
        </w:rPr>
        <w:t>如乙方拒不提供，甲方有权单方面解除合同并要求乙方承担相应的损失。上述人员自工地开工后至</w:t>
      </w:r>
      <w:r>
        <w:rPr>
          <w:rFonts w:hint="eastAsia" w:ascii="宋体" w:hAnsi="宋体"/>
          <w:bCs/>
          <w:color w:val="auto"/>
          <w:szCs w:val="21"/>
        </w:rPr>
        <w:t>分部分项</w:t>
      </w:r>
      <w:r>
        <w:rPr>
          <w:rFonts w:hint="eastAsia" w:ascii="宋体" w:hAnsi="宋体"/>
          <w:color w:val="auto"/>
          <w:szCs w:val="21"/>
        </w:rPr>
        <w:t>验收结算为止，甲方随时进行抽查人员的到位情况，少1人1天处罚1000元/次/天。</w:t>
      </w:r>
    </w:p>
    <w:p>
      <w:pPr>
        <w:autoSpaceDE w:val="0"/>
        <w:autoSpaceDN w:val="0"/>
        <w:adjustRightInd w:val="0"/>
        <w:spacing w:line="480" w:lineRule="exact"/>
        <w:ind w:firstLine="420" w:firstLineChars="200"/>
        <w:rPr>
          <w:rFonts w:ascii="宋体" w:hAnsi="宋体"/>
          <w:color w:val="auto"/>
          <w:szCs w:val="21"/>
        </w:rPr>
      </w:pPr>
      <w:r>
        <w:rPr>
          <w:rFonts w:hint="eastAsia" w:ascii="宋体" w:hAnsi="宋体"/>
          <w:color w:val="auto"/>
          <w:szCs w:val="21"/>
        </w:rPr>
        <w:t>4、项目经理必须常住现场，离开现场2天（含2天）以上需经甲方同意。中途更换项目经理，需提前7天以书面形式通知甲方。甲方有权就不称职的项目经理向乙方提出更换，乙方应在甲方限定时间内配合更换，逾期未配合更换的，每逾期一天，需向甲方支付违约1000元。</w:t>
      </w:r>
    </w:p>
    <w:p>
      <w:pPr>
        <w:tabs>
          <w:tab w:val="left" w:pos="426"/>
        </w:tabs>
        <w:autoSpaceDE w:val="0"/>
        <w:autoSpaceDN w:val="0"/>
        <w:adjustRightInd w:val="0"/>
        <w:spacing w:line="480" w:lineRule="exact"/>
        <w:rPr>
          <w:rFonts w:ascii="宋体" w:hAnsi="宋体"/>
          <w:color w:val="auto"/>
          <w:szCs w:val="21"/>
        </w:rPr>
      </w:pPr>
      <w:r>
        <w:rPr>
          <w:rFonts w:hint="eastAsia" w:ascii="宋体" w:hAnsi="宋体"/>
          <w:color w:val="auto"/>
          <w:szCs w:val="21"/>
        </w:rPr>
        <w:t xml:space="preserve">    5、乙方材料进场前，须提前一个工作日书面通知甲方，进场时经双方共同验收并作书面记录。</w:t>
      </w:r>
    </w:p>
    <w:p>
      <w:pPr>
        <w:tabs>
          <w:tab w:val="left" w:pos="426"/>
        </w:tabs>
        <w:spacing w:line="480" w:lineRule="exact"/>
        <w:ind w:firstLine="420" w:firstLineChars="200"/>
        <w:rPr>
          <w:rFonts w:ascii="宋体" w:hAnsi="宋体"/>
          <w:color w:val="auto"/>
          <w:szCs w:val="21"/>
        </w:rPr>
      </w:pPr>
      <w:r>
        <w:rPr>
          <w:rFonts w:hint="eastAsia" w:ascii="宋体" w:hAnsi="宋体"/>
          <w:color w:val="auto"/>
          <w:szCs w:val="21"/>
        </w:rPr>
        <w:t>6、施工过程中如发现设计错误或不合理时，应立即停工并书面通知甲方。否则，乙方应对扩大的损失负责赔偿。</w:t>
      </w:r>
    </w:p>
    <w:p>
      <w:pPr>
        <w:tabs>
          <w:tab w:val="left" w:pos="426"/>
        </w:tabs>
        <w:autoSpaceDE w:val="0"/>
        <w:autoSpaceDN w:val="0"/>
        <w:adjustRightInd w:val="0"/>
        <w:spacing w:line="480" w:lineRule="exact"/>
        <w:ind w:firstLine="420" w:firstLineChars="200"/>
        <w:rPr>
          <w:rFonts w:ascii="宋体" w:hAnsi="宋体"/>
          <w:color w:val="auto"/>
          <w:szCs w:val="21"/>
        </w:rPr>
      </w:pPr>
      <w:r>
        <w:rPr>
          <w:rFonts w:hint="eastAsia" w:ascii="宋体" w:hAnsi="宋体"/>
          <w:color w:val="auto"/>
          <w:szCs w:val="21"/>
        </w:rPr>
        <w:t>7、于达到合同约定的付款条件时，乙方须按甲方要求的格式提供相应的工程进度报表并向甲方发出书面付款申请，若乙方未及时提供前述资料，甲方可相应顺延付款时间。</w:t>
      </w:r>
    </w:p>
    <w:p>
      <w:pPr>
        <w:autoSpaceDE w:val="0"/>
        <w:autoSpaceDN w:val="0"/>
        <w:adjustRightInd w:val="0"/>
        <w:spacing w:line="480" w:lineRule="exact"/>
        <w:ind w:firstLine="420" w:firstLineChars="200"/>
        <w:rPr>
          <w:rFonts w:ascii="宋体" w:hAnsi="宋体"/>
          <w:color w:val="auto"/>
          <w:szCs w:val="21"/>
        </w:rPr>
      </w:pPr>
      <w:r>
        <w:rPr>
          <w:rFonts w:hint="eastAsia" w:ascii="宋体" w:hAnsi="宋体"/>
          <w:color w:val="auto"/>
          <w:szCs w:val="21"/>
        </w:rPr>
        <w:t>8、按相关安全法规进行安全施工，遵守甲方施工现场管理的有关规定，承担在施工过程中的防火、防盗、防止事故发生等安全责任。若出现安全问题，责任由乙方自行承担。</w:t>
      </w:r>
    </w:p>
    <w:p>
      <w:pPr>
        <w:autoSpaceDE w:val="0"/>
        <w:autoSpaceDN w:val="0"/>
        <w:adjustRightInd w:val="0"/>
        <w:spacing w:line="360" w:lineRule="auto"/>
        <w:ind w:right="24" w:firstLine="445" w:firstLineChars="212"/>
        <w:rPr>
          <w:rFonts w:ascii="宋体" w:hAnsi="宋体"/>
          <w:color w:val="auto"/>
          <w:szCs w:val="21"/>
        </w:rPr>
      </w:pPr>
      <w:r>
        <w:rPr>
          <w:rFonts w:hint="eastAsia" w:ascii="宋体" w:hAnsi="宋体"/>
          <w:color w:val="auto"/>
          <w:szCs w:val="21"/>
        </w:rPr>
        <w:t>9、乙方应</w:t>
      </w:r>
      <w:r>
        <w:rPr>
          <w:color w:val="auto"/>
        </w:rPr>
        <w:t>配合甲方的场地管理</w:t>
      </w:r>
      <w:r>
        <w:rPr>
          <w:rFonts w:hint="eastAsia"/>
          <w:color w:val="auto"/>
        </w:rPr>
        <w:t>以及</w:t>
      </w:r>
      <w:r>
        <w:rPr>
          <w:rFonts w:hint="eastAsia" w:ascii="宋体" w:hAnsi="宋体"/>
          <w:color w:val="auto"/>
          <w:szCs w:val="21"/>
        </w:rPr>
        <w:t>处理好与其他在建专业施工队伍的关系，车</w:t>
      </w:r>
      <w:r>
        <w:rPr>
          <w:color w:val="auto"/>
        </w:rPr>
        <w:t>辆离开施工场地</w:t>
      </w:r>
      <w:r>
        <w:rPr>
          <w:rFonts w:hint="eastAsia"/>
          <w:color w:val="auto"/>
        </w:rPr>
        <w:t>时</w:t>
      </w:r>
      <w:r>
        <w:rPr>
          <w:color w:val="auto"/>
        </w:rPr>
        <w:t>必须清洗干净</w:t>
      </w:r>
      <w:r>
        <w:rPr>
          <w:rFonts w:hint="eastAsia"/>
          <w:color w:val="auto"/>
        </w:rPr>
        <w:t>，并</w:t>
      </w:r>
      <w:r>
        <w:rPr>
          <w:rFonts w:hint="eastAsia" w:ascii="宋体" w:hAnsi="宋体"/>
          <w:color w:val="auto"/>
          <w:szCs w:val="21"/>
        </w:rPr>
        <w:t>保证施工场地的清洁卫生符合相关环境卫生管理的规定，做到工完场清，</w:t>
      </w:r>
      <w:r>
        <w:rPr>
          <w:rFonts w:hint="eastAsia"/>
          <w:color w:val="auto"/>
        </w:rPr>
        <w:t>未按要求清洗而造成的相关后果由乙方自行承担，甲方保</w:t>
      </w:r>
      <w:r>
        <w:rPr>
          <w:rFonts w:hint="eastAsia" w:ascii="宋体" w:hAnsi="宋体"/>
          <w:color w:val="auto"/>
          <w:szCs w:val="21"/>
        </w:rPr>
        <w:t>留</w:t>
      </w:r>
      <w:r>
        <w:rPr>
          <w:rFonts w:hint="eastAsia"/>
          <w:color w:val="auto"/>
        </w:rPr>
        <w:t>向其追责的权利</w:t>
      </w:r>
      <w:r>
        <w:rPr>
          <w:rFonts w:hint="eastAsia" w:ascii="宋体" w:hAnsi="宋体"/>
          <w:color w:val="auto"/>
          <w:szCs w:val="21"/>
        </w:rPr>
        <w:t xml:space="preserve">。且甲方有权委托第三方予以处理，因此造成的费用损失，甲方有权直接在应付乙方的工程款中直接扣除。 </w:t>
      </w:r>
    </w:p>
    <w:p>
      <w:pPr>
        <w:autoSpaceDE w:val="0"/>
        <w:autoSpaceDN w:val="0"/>
        <w:adjustRightInd w:val="0"/>
        <w:spacing w:line="480" w:lineRule="exact"/>
        <w:rPr>
          <w:rFonts w:ascii="宋体" w:hAnsi="宋体"/>
          <w:color w:val="auto"/>
          <w:szCs w:val="21"/>
        </w:rPr>
      </w:pPr>
      <w:r>
        <w:rPr>
          <w:rFonts w:hint="eastAsia" w:ascii="宋体" w:hAnsi="宋体"/>
          <w:color w:val="auto"/>
          <w:szCs w:val="21"/>
        </w:rPr>
        <w:t xml:space="preserve">   10、工程交付甲方前，应负责已完工工程的保护工作，在此期间发生损坏的，由乙方自费予以修复并按合同约定交付甲方，由此造成工期延误，按违约责任中的逾期完工条款处理。</w:t>
      </w:r>
    </w:p>
    <w:p>
      <w:pPr>
        <w:autoSpaceDE w:val="0"/>
        <w:autoSpaceDN w:val="0"/>
        <w:adjustRightInd w:val="0"/>
        <w:spacing w:line="480" w:lineRule="exact"/>
        <w:ind w:firstLine="420" w:firstLineChars="200"/>
        <w:rPr>
          <w:rFonts w:ascii="宋体" w:hAnsi="宋体"/>
          <w:color w:val="auto"/>
          <w:szCs w:val="21"/>
        </w:rPr>
      </w:pPr>
      <w:r>
        <w:rPr>
          <w:rFonts w:hint="eastAsia" w:ascii="宋体" w:hAnsi="宋体"/>
          <w:color w:val="auto"/>
          <w:szCs w:val="21"/>
        </w:rPr>
        <w:t>11、乙方如在施工过程中损坏甲方现场的其他工程成品或半成品，乙方应赔偿给甲方。不赔偿的，甲方有权在工程结算款中扣除。</w:t>
      </w:r>
    </w:p>
    <w:p>
      <w:pPr>
        <w:autoSpaceDE w:val="0"/>
        <w:autoSpaceDN w:val="0"/>
        <w:adjustRightInd w:val="0"/>
        <w:spacing w:line="480" w:lineRule="exact"/>
        <w:ind w:firstLine="420" w:firstLineChars="200"/>
        <w:rPr>
          <w:rFonts w:ascii="宋体" w:hAnsi="宋体"/>
          <w:color w:val="auto"/>
          <w:szCs w:val="21"/>
        </w:rPr>
      </w:pPr>
      <w:r>
        <w:rPr>
          <w:rFonts w:hint="eastAsia" w:ascii="宋体" w:hAnsi="宋体"/>
          <w:color w:val="auto"/>
          <w:szCs w:val="21"/>
        </w:rPr>
        <w:t>12、乙方进场施工时，应与总承包单位签订有关的协议或合同。</w:t>
      </w:r>
    </w:p>
    <w:p>
      <w:pPr>
        <w:autoSpaceDE w:val="0"/>
        <w:autoSpaceDN w:val="0"/>
        <w:adjustRightInd w:val="0"/>
        <w:spacing w:line="480" w:lineRule="exact"/>
        <w:ind w:firstLine="420" w:firstLineChars="200"/>
        <w:rPr>
          <w:rFonts w:ascii="宋体" w:hAnsi="宋体"/>
          <w:color w:val="auto"/>
          <w:szCs w:val="21"/>
        </w:rPr>
      </w:pPr>
      <w:r>
        <w:rPr>
          <w:rFonts w:hint="eastAsia" w:ascii="宋体" w:hAnsi="宋体"/>
          <w:color w:val="auto"/>
          <w:szCs w:val="21"/>
        </w:rPr>
        <w:t>13、乙方与其员工之间的一切劳动纠纷由其自行负责，由此给甲方造成损失的，乙方应予以赔偿。</w:t>
      </w:r>
    </w:p>
    <w:p>
      <w:pPr>
        <w:spacing w:line="480" w:lineRule="exact"/>
        <w:ind w:firstLine="420" w:firstLineChars="200"/>
        <w:rPr>
          <w:rFonts w:ascii="宋体" w:hAnsi="宋体"/>
          <w:color w:val="auto"/>
          <w:szCs w:val="21"/>
        </w:rPr>
      </w:pPr>
      <w:r>
        <w:rPr>
          <w:rFonts w:hint="eastAsia" w:ascii="宋体" w:hAnsi="宋体"/>
          <w:color w:val="auto"/>
          <w:szCs w:val="21"/>
        </w:rPr>
        <w:t>14、因乙方原因造成的不符合本合同约定标准的质量问题及工程隐患而甲方在验收时没能发现的，由乙方负责在甲方要求的期限内免费整改。</w:t>
      </w:r>
    </w:p>
    <w:p>
      <w:pPr>
        <w:spacing w:line="480" w:lineRule="exact"/>
        <w:rPr>
          <w:rFonts w:ascii="宋体" w:hAnsi="宋体"/>
          <w:color w:val="auto"/>
          <w:szCs w:val="21"/>
        </w:rPr>
      </w:pPr>
      <w:r>
        <w:rPr>
          <w:rFonts w:hint="eastAsia" w:ascii="宋体" w:hAnsi="宋体"/>
          <w:color w:val="auto"/>
          <w:szCs w:val="21"/>
        </w:rPr>
        <w:t xml:space="preserve">    15、乙方不得未经甲方同意改变或破坏工程楼房的承重结构。</w:t>
      </w:r>
    </w:p>
    <w:p>
      <w:pPr>
        <w:spacing w:line="480" w:lineRule="exact"/>
        <w:ind w:firstLine="420" w:firstLineChars="200"/>
        <w:rPr>
          <w:rFonts w:ascii="宋体" w:hAnsi="宋体"/>
          <w:color w:val="auto"/>
          <w:szCs w:val="21"/>
        </w:rPr>
      </w:pPr>
      <w:r>
        <w:rPr>
          <w:rFonts w:hint="eastAsia" w:ascii="宋体" w:hAnsi="宋体"/>
          <w:color w:val="auto"/>
          <w:szCs w:val="21"/>
        </w:rPr>
        <w:t>16、工程</w:t>
      </w:r>
      <w:r>
        <w:rPr>
          <w:rFonts w:hint="eastAsia" w:ascii="宋体" w:hAnsi="宋体"/>
          <w:bCs/>
          <w:color w:val="auto"/>
          <w:szCs w:val="21"/>
        </w:rPr>
        <w:t>分部分项</w:t>
      </w:r>
      <w:r>
        <w:rPr>
          <w:rFonts w:hint="eastAsia" w:ascii="宋体" w:hAnsi="宋体"/>
          <w:color w:val="auto"/>
          <w:szCs w:val="21"/>
        </w:rPr>
        <w:t>验收后，乙方人员必须在两日内清理并撤离施工场地。</w:t>
      </w:r>
    </w:p>
    <w:p>
      <w:pPr>
        <w:autoSpaceDE w:val="0"/>
        <w:autoSpaceDN w:val="0"/>
        <w:adjustRightInd w:val="0"/>
        <w:spacing w:line="480" w:lineRule="exact"/>
        <w:ind w:firstLine="420" w:firstLineChars="200"/>
        <w:rPr>
          <w:rFonts w:ascii="宋体" w:hAnsi="宋体"/>
          <w:color w:val="auto"/>
          <w:szCs w:val="21"/>
        </w:rPr>
      </w:pPr>
      <w:r>
        <w:rPr>
          <w:rFonts w:hint="eastAsia" w:ascii="宋体" w:hAnsi="宋体"/>
          <w:color w:val="auto"/>
          <w:szCs w:val="21"/>
        </w:rPr>
        <w:t>17、乙方承包的工程项目，未经甲方书面同意，不得分包或转包给其他任何单位。</w:t>
      </w:r>
    </w:p>
    <w:p>
      <w:pPr>
        <w:spacing w:line="480" w:lineRule="exact"/>
        <w:ind w:firstLine="420" w:firstLineChars="200"/>
        <w:rPr>
          <w:rFonts w:ascii="宋体" w:hAnsi="宋体"/>
          <w:color w:val="auto"/>
          <w:szCs w:val="21"/>
        </w:rPr>
      </w:pPr>
      <w:r>
        <w:rPr>
          <w:rFonts w:hint="eastAsia" w:ascii="宋体" w:hAnsi="宋体"/>
          <w:color w:val="auto"/>
          <w:szCs w:val="21"/>
        </w:rPr>
        <w:t>18、图纸外（现场变更、临时工程等）的工程签证，属于隐蔽工程的应于隐蔽前办理签证，非隐蔽工程应于完成后两个工作日内办理签证。签证时，乙方应至少提前4个工作小时通知甲方，经甲方项目部、经营与财务中心及乙方共同现场验收签证，并在签证单中签名确认方为有效。甲方、乙方双方各执2份，作为工程结算依据。</w:t>
      </w:r>
    </w:p>
    <w:p>
      <w:pPr>
        <w:spacing w:line="480" w:lineRule="exact"/>
        <w:ind w:firstLine="420" w:firstLineChars="200"/>
        <w:rPr>
          <w:rFonts w:ascii="宋体" w:hAnsi="宋体"/>
          <w:color w:val="auto"/>
          <w:szCs w:val="21"/>
        </w:rPr>
      </w:pPr>
      <w:r>
        <w:rPr>
          <w:rFonts w:hint="eastAsia" w:ascii="宋体" w:hAnsi="宋体"/>
          <w:color w:val="auto"/>
          <w:szCs w:val="21"/>
        </w:rPr>
        <w:t>不按以上要求的事后补签，甲方可不予以认可及结算，后果由乙方自行承担。</w:t>
      </w:r>
    </w:p>
    <w:p>
      <w:pPr>
        <w:spacing w:line="480" w:lineRule="exact"/>
        <w:ind w:firstLine="420" w:firstLineChars="200"/>
        <w:rPr>
          <w:rFonts w:ascii="宋体" w:hAnsi="宋体"/>
          <w:color w:val="auto"/>
          <w:szCs w:val="21"/>
        </w:rPr>
      </w:pPr>
      <w:r>
        <w:rPr>
          <w:rFonts w:hint="eastAsia" w:ascii="宋体" w:hAnsi="宋体"/>
          <w:color w:val="auto"/>
          <w:szCs w:val="21"/>
        </w:rPr>
        <w:t>19、</w:t>
      </w:r>
      <w:r>
        <w:rPr>
          <w:rFonts w:hint="eastAsia" w:ascii="宋体" w:hAnsi="宋体"/>
          <w:color w:val="auto"/>
        </w:rPr>
        <w:t>同时，属于乙方工程承包范围内的分部分项工程，如乙方不予以实施或未按期完成且甲方已发书面通知后3个日历天内(以该通知文件所标示的甲方签发之日起计)仍不实施或不按期完成时，甲方有权将该分部分项工程作为指定分包工程或独立发包工程或其他方式委托第三方实施的权利，乙方须承担向甲方或甲方所委托的第三方移交施工现场及施工工作面并承担相应的指定分包工程或独立发包工程总承包的配合和管理工作，且所需全部费用及全部损失均由乙方负责；同时，乙方还须另按该分部分项工程总价款</w:t>
      </w:r>
      <w:r>
        <w:rPr>
          <w:rFonts w:hint="eastAsia" w:ascii="宋体" w:hAnsi="宋体"/>
          <w:color w:val="auto"/>
        </w:rPr>
        <w:t>×15%</w:t>
      </w:r>
      <w:r>
        <w:rPr>
          <w:rFonts w:hint="eastAsia" w:ascii="宋体" w:hAnsi="宋体"/>
          <w:color w:val="auto"/>
        </w:rPr>
        <w:t>补偿甲方并作为甲方管理费之一，甲方可在任何时候从乙方的任何工程款中予以扣减。</w:t>
      </w:r>
    </w:p>
    <w:p>
      <w:pPr>
        <w:spacing w:line="480" w:lineRule="exact"/>
        <w:ind w:firstLine="420" w:firstLineChars="200"/>
        <w:rPr>
          <w:rFonts w:ascii="宋体" w:hAnsi="宋体"/>
          <w:color w:val="auto"/>
          <w:szCs w:val="21"/>
        </w:rPr>
      </w:pPr>
      <w:r>
        <w:rPr>
          <w:rFonts w:hint="eastAsia" w:ascii="宋体" w:hAnsi="宋体"/>
          <w:color w:val="auto"/>
          <w:szCs w:val="21"/>
        </w:rPr>
        <w:t>20、分项工程施工完成</w:t>
      </w:r>
      <w:r>
        <w:rPr>
          <w:rFonts w:ascii="宋体" w:hAnsi="宋体"/>
          <w:color w:val="auto"/>
          <w:szCs w:val="21"/>
        </w:rPr>
        <w:t>，</w:t>
      </w:r>
      <w:r>
        <w:rPr>
          <w:rFonts w:hint="eastAsia" w:ascii="宋体" w:hAnsi="宋体"/>
          <w:color w:val="auto"/>
          <w:szCs w:val="21"/>
        </w:rPr>
        <w:t>乙方</w:t>
      </w:r>
      <w:r>
        <w:rPr>
          <w:rFonts w:ascii="宋体" w:hAnsi="宋体"/>
          <w:color w:val="auto"/>
          <w:szCs w:val="21"/>
        </w:rPr>
        <w:t>进行自检</w:t>
      </w:r>
      <w:r>
        <w:rPr>
          <w:rFonts w:hint="eastAsia" w:ascii="宋体" w:hAnsi="宋体"/>
          <w:color w:val="auto"/>
          <w:szCs w:val="21"/>
        </w:rPr>
        <w:t>合格后应</w:t>
      </w:r>
      <w:r>
        <w:rPr>
          <w:rFonts w:ascii="宋体" w:hAnsi="宋体"/>
          <w:color w:val="auto"/>
          <w:szCs w:val="21"/>
        </w:rPr>
        <w:t>以书面形式</w:t>
      </w:r>
      <w:r>
        <w:rPr>
          <w:rFonts w:hint="eastAsia" w:ascii="宋体" w:hAnsi="宋体"/>
          <w:color w:val="auto"/>
          <w:szCs w:val="21"/>
        </w:rPr>
        <w:t>（按甲方要求的格式）</w:t>
      </w:r>
      <w:r>
        <w:rPr>
          <w:rFonts w:ascii="宋体" w:hAnsi="宋体"/>
          <w:color w:val="auto"/>
          <w:szCs w:val="21"/>
        </w:rPr>
        <w:t>通知</w:t>
      </w:r>
      <w:r>
        <w:rPr>
          <w:rFonts w:hint="eastAsia" w:ascii="宋体" w:hAnsi="宋体"/>
          <w:color w:val="auto"/>
          <w:szCs w:val="21"/>
        </w:rPr>
        <w:t>甲方</w:t>
      </w:r>
      <w:r>
        <w:rPr>
          <w:rFonts w:ascii="宋体" w:hAnsi="宋体"/>
          <w:color w:val="auto"/>
          <w:szCs w:val="21"/>
        </w:rPr>
        <w:t>验收。通知包括验收的内容、验收时间和地点。</w:t>
      </w:r>
      <w:r>
        <w:rPr>
          <w:rFonts w:hint="eastAsia" w:ascii="宋体" w:hAnsi="宋体"/>
          <w:color w:val="auto"/>
          <w:szCs w:val="21"/>
        </w:rPr>
        <w:t>甲方</w:t>
      </w:r>
      <w:r>
        <w:rPr>
          <w:rFonts w:ascii="宋体" w:hAnsi="宋体"/>
          <w:color w:val="auto"/>
          <w:szCs w:val="21"/>
        </w:rPr>
        <w:t>验收合格</w:t>
      </w:r>
      <w:r>
        <w:rPr>
          <w:rFonts w:hint="eastAsia" w:ascii="宋体" w:hAnsi="宋体"/>
          <w:color w:val="auto"/>
          <w:szCs w:val="21"/>
        </w:rPr>
        <w:t>后</w:t>
      </w:r>
      <w:r>
        <w:rPr>
          <w:rFonts w:ascii="宋体" w:hAnsi="宋体"/>
          <w:color w:val="auto"/>
          <w:szCs w:val="21"/>
        </w:rPr>
        <w:t>，</w:t>
      </w:r>
      <w:r>
        <w:rPr>
          <w:rFonts w:hint="eastAsia" w:ascii="宋体" w:hAnsi="宋体"/>
          <w:color w:val="auto"/>
          <w:szCs w:val="21"/>
        </w:rPr>
        <w:t>乙方方</w:t>
      </w:r>
      <w:r>
        <w:rPr>
          <w:rFonts w:ascii="宋体" w:hAnsi="宋体"/>
          <w:color w:val="auto"/>
          <w:szCs w:val="21"/>
        </w:rPr>
        <w:t>可进行</w:t>
      </w:r>
      <w:r>
        <w:rPr>
          <w:rFonts w:hint="eastAsia" w:ascii="宋体" w:hAnsi="宋体"/>
          <w:color w:val="auto"/>
          <w:szCs w:val="21"/>
        </w:rPr>
        <w:t>下一道工序的</w:t>
      </w:r>
      <w:r>
        <w:rPr>
          <w:rFonts w:ascii="宋体" w:hAnsi="宋体"/>
          <w:color w:val="auto"/>
          <w:szCs w:val="21"/>
        </w:rPr>
        <w:t>施工。验收不合格，</w:t>
      </w:r>
      <w:r>
        <w:rPr>
          <w:rFonts w:hint="eastAsia" w:ascii="宋体" w:hAnsi="宋体"/>
          <w:color w:val="auto"/>
          <w:szCs w:val="21"/>
        </w:rPr>
        <w:t>乙方</w:t>
      </w:r>
      <w:r>
        <w:rPr>
          <w:rFonts w:ascii="宋体" w:hAnsi="宋体"/>
          <w:color w:val="auto"/>
          <w:szCs w:val="21"/>
        </w:rPr>
        <w:t>在</w:t>
      </w:r>
      <w:r>
        <w:rPr>
          <w:rFonts w:hint="eastAsia" w:ascii="宋体" w:hAnsi="宋体"/>
          <w:color w:val="auto"/>
          <w:szCs w:val="21"/>
        </w:rPr>
        <w:t>甲方</w:t>
      </w:r>
      <w:r>
        <w:rPr>
          <w:rFonts w:ascii="宋体" w:hAnsi="宋体"/>
          <w:color w:val="auto"/>
          <w:szCs w:val="21"/>
        </w:rPr>
        <w:t>限定的时间内</w:t>
      </w:r>
      <w:r>
        <w:rPr>
          <w:rFonts w:hint="eastAsia" w:ascii="宋体" w:hAnsi="宋体"/>
          <w:color w:val="auto"/>
          <w:szCs w:val="21"/>
        </w:rPr>
        <w:t>整</w:t>
      </w:r>
      <w:r>
        <w:rPr>
          <w:rFonts w:ascii="宋体" w:hAnsi="宋体"/>
          <w:color w:val="auto"/>
          <w:szCs w:val="21"/>
        </w:rPr>
        <w:t>改后重新</w:t>
      </w:r>
      <w:r>
        <w:rPr>
          <w:rFonts w:hint="eastAsia" w:ascii="宋体" w:hAnsi="宋体"/>
          <w:color w:val="auto"/>
          <w:szCs w:val="21"/>
        </w:rPr>
        <w:t>报</w:t>
      </w:r>
      <w:r>
        <w:rPr>
          <w:rFonts w:ascii="宋体" w:hAnsi="宋体"/>
          <w:color w:val="auto"/>
          <w:szCs w:val="21"/>
        </w:rPr>
        <w:t>验。</w:t>
      </w:r>
    </w:p>
    <w:p>
      <w:pPr>
        <w:spacing w:line="480" w:lineRule="exact"/>
        <w:ind w:firstLine="440" w:firstLineChars="200"/>
        <w:rPr>
          <w:rFonts w:ascii="宋体" w:hAnsi="宋体"/>
          <w:color w:val="auto"/>
          <w:sz w:val="22"/>
          <w:szCs w:val="22"/>
        </w:rPr>
      </w:pPr>
      <w:r>
        <w:rPr>
          <w:rFonts w:hint="eastAsia" w:ascii="宋体" w:hAnsi="宋体"/>
          <w:color w:val="auto"/>
          <w:sz w:val="22"/>
          <w:szCs w:val="22"/>
        </w:rPr>
        <w:t>21、甲供材料损耗率必须在定额范围内（</w:t>
      </w:r>
      <w:r>
        <w:rPr>
          <w:rFonts w:hint="eastAsia" w:ascii="宋体" w:hAnsi="宋体"/>
          <w:color w:val="auto"/>
          <w:kern w:val="0"/>
          <w:sz w:val="22"/>
          <w:szCs w:val="22"/>
        </w:rPr>
        <w:t>具体定额范围按《广东省建筑与装饰工程综合定额》（2018）约定</w:t>
      </w:r>
      <w:r>
        <w:rPr>
          <w:rFonts w:hint="eastAsia" w:ascii="宋体" w:hAnsi="宋体"/>
          <w:color w:val="auto"/>
          <w:sz w:val="22"/>
          <w:szCs w:val="22"/>
        </w:rPr>
        <w:t>），超过部分由乙方负责（如有甲供材料）。</w:t>
      </w:r>
      <w:r>
        <w:rPr>
          <w:rFonts w:ascii="宋体" w:hAnsi="宋体"/>
          <w:color w:val="auto"/>
          <w:szCs w:val="21"/>
        </w:rPr>
        <w:t>本工程承包人提供的主材进入施工工地时，分包单位应派人配合发包人进行主材验收，主材进场验收之后分包单位承担保管责任。分包单位按施工图纸、规范、标准合理地进行配料和施工，严禁偷工减料和浪费材料，主材损耗率不应高于定额损耗率 ，未满足上述要求，则超出损耗部分按发包人采购单价</w:t>
      </w:r>
      <w:r>
        <w:rPr>
          <w:rFonts w:hint="eastAsia" w:ascii="宋体" w:hAnsi="宋体"/>
          <w:color w:val="auto"/>
          <w:szCs w:val="21"/>
        </w:rPr>
        <w:t>×</w:t>
      </w:r>
      <w:r>
        <w:rPr>
          <w:rFonts w:ascii="宋体" w:hAnsi="宋体"/>
          <w:color w:val="auto"/>
          <w:szCs w:val="21"/>
        </w:rPr>
        <w:t>120%从分包单位产值中扣除。处罚费用承包人在支付分包单位进度款时或结算支付时扣除。</w:t>
      </w:r>
    </w:p>
    <w:p>
      <w:pPr>
        <w:spacing w:line="480" w:lineRule="exact"/>
        <w:ind w:firstLine="420" w:firstLineChars="200"/>
        <w:rPr>
          <w:rFonts w:ascii="宋体" w:hAnsi="宋体"/>
          <w:color w:val="auto"/>
          <w:szCs w:val="21"/>
        </w:rPr>
      </w:pPr>
      <w:r>
        <w:rPr>
          <w:rFonts w:ascii="宋体" w:hAnsi="宋体"/>
          <w:color w:val="auto"/>
          <w:szCs w:val="21"/>
        </w:rPr>
        <w:t xml:space="preserve">  </w:t>
      </w:r>
      <w:r>
        <w:rPr>
          <w:rFonts w:hint="eastAsia" w:ascii="宋体" w:hAnsi="宋体"/>
          <w:color w:val="auto"/>
          <w:szCs w:val="21"/>
        </w:rPr>
        <w:t>22、如工程的最终结算金额少于甲方已支付的工程款总额，则乙方应在收到甲方通知之日起五个工作日内将甲方已支付的工程款总额和工程的最终结算金额之间的差额退回给甲方。逾期退还的，每逾期一日，乙方应按退还款项的千分之五向甲方支付违约金。</w:t>
      </w:r>
    </w:p>
    <w:p>
      <w:pPr>
        <w:spacing w:line="480" w:lineRule="exact"/>
        <w:ind w:firstLine="420" w:firstLineChars="200"/>
        <w:rPr>
          <w:rFonts w:ascii="宋体" w:hAnsi="宋体"/>
          <w:color w:val="auto"/>
          <w:szCs w:val="21"/>
        </w:rPr>
      </w:pPr>
      <w:r>
        <w:rPr>
          <w:rFonts w:hint="eastAsia" w:ascii="宋体" w:hAnsi="宋体"/>
          <w:color w:val="auto"/>
          <w:szCs w:val="21"/>
        </w:rPr>
        <w:t>23、乙方应采取适当的措施对施工现场周围的居民和公众进行安抚并在必要时支付补偿金，以避免因其施工(包括夜间施工)所产生的施工噪音、震动、光线等扰民因素导致的民扰对工程进展造成影响。乙方应保证甲方不会承担任何与施工扰民或民扰有关的费用，且不会遭受任何与施工扰民或民扰有关的费用和延长工期的索赔。</w:t>
      </w:r>
    </w:p>
    <w:p>
      <w:pPr>
        <w:spacing w:line="480" w:lineRule="exact"/>
        <w:ind w:firstLine="420" w:firstLineChars="200"/>
        <w:rPr>
          <w:rFonts w:ascii="宋体" w:hAnsi="宋体"/>
          <w:color w:val="auto"/>
          <w:szCs w:val="21"/>
        </w:rPr>
      </w:pPr>
      <w:r>
        <w:rPr>
          <w:rFonts w:hint="eastAsia" w:ascii="宋体" w:hAnsi="宋体"/>
          <w:color w:val="auto"/>
          <w:szCs w:val="21"/>
        </w:rPr>
        <w:t>24、负责向甲方提供完整的竣工图3套（含可修改的电子版图纸）。</w:t>
      </w:r>
    </w:p>
    <w:p>
      <w:pPr>
        <w:spacing w:line="480" w:lineRule="exact"/>
        <w:ind w:firstLine="420" w:firstLineChars="200"/>
        <w:rPr>
          <w:rFonts w:hint="eastAsia" w:ascii="宋体" w:hAnsi="宋体"/>
          <w:bCs/>
          <w:color w:val="auto"/>
          <w:szCs w:val="21"/>
        </w:rPr>
      </w:pPr>
      <w:r>
        <w:rPr>
          <w:rFonts w:hint="eastAsia" w:ascii="宋体" w:hAnsi="宋体"/>
          <w:color w:val="auto"/>
          <w:szCs w:val="21"/>
        </w:rPr>
        <w:t>25、</w:t>
      </w:r>
      <w:r>
        <w:rPr>
          <w:rFonts w:hint="eastAsia" w:ascii="宋体" w:hAnsi="宋体"/>
          <w:bCs/>
          <w:color w:val="auto"/>
          <w:szCs w:val="21"/>
        </w:rPr>
        <w:t>本条第</w:t>
      </w:r>
      <w:r>
        <w:rPr>
          <w:rFonts w:hint="eastAsia" w:ascii="宋体" w:hAnsi="宋体"/>
          <w:bCs/>
          <w:color w:val="auto"/>
          <w:szCs w:val="21"/>
          <w:u w:val="single"/>
        </w:rPr>
        <w:t xml:space="preserve">          /         </w:t>
      </w:r>
      <w:r>
        <w:rPr>
          <w:rFonts w:hint="eastAsia" w:ascii="宋体" w:hAnsi="宋体"/>
          <w:bCs/>
          <w:color w:val="auto"/>
          <w:szCs w:val="21"/>
        </w:rPr>
        <w:t>款/项不适用于本合同。</w:t>
      </w:r>
    </w:p>
    <w:p>
      <w:pPr>
        <w:spacing w:line="480" w:lineRule="exact"/>
        <w:ind w:left="16"/>
        <w:rPr>
          <w:rFonts w:ascii="宋体" w:hAnsi="宋体"/>
          <w:b/>
          <w:color w:val="auto"/>
          <w:szCs w:val="21"/>
        </w:rPr>
      </w:pPr>
      <w:r>
        <w:rPr>
          <w:rFonts w:hint="eastAsia" w:ascii="宋体" w:hAnsi="宋体"/>
          <w:b/>
          <w:color w:val="auto"/>
          <w:szCs w:val="21"/>
        </w:rPr>
        <w:t>第十五条  违约责任</w:t>
      </w:r>
    </w:p>
    <w:p>
      <w:pPr>
        <w:autoSpaceDE w:val="0"/>
        <w:autoSpaceDN w:val="0"/>
        <w:adjustRightInd w:val="0"/>
        <w:spacing w:line="480" w:lineRule="exact"/>
        <w:rPr>
          <w:rFonts w:ascii="宋体" w:hAnsi="宋体"/>
          <w:color w:val="auto"/>
          <w:szCs w:val="21"/>
        </w:rPr>
      </w:pPr>
      <w:r>
        <w:rPr>
          <w:rFonts w:hint="eastAsia" w:ascii="宋体" w:hAnsi="宋体"/>
          <w:color w:val="auto"/>
          <w:szCs w:val="21"/>
        </w:rPr>
        <w:t xml:space="preserve">    1、甲方必须按本合同约定参加隐蔽工程验收，否则视为默认，乙方可进行下道工序，但如乙方施工质量不符合合同约定的要求，乙方必须承担违约责任。若事后甲方提出复查，复查合格时费用由甲方承担，复查结果不合格时，复查及返修费用由乙方承担，工期不予顺延。</w:t>
      </w:r>
    </w:p>
    <w:p>
      <w:pPr>
        <w:autoSpaceDE w:val="0"/>
        <w:autoSpaceDN w:val="0"/>
        <w:adjustRightInd w:val="0"/>
        <w:spacing w:line="480" w:lineRule="exact"/>
        <w:ind w:firstLine="420" w:firstLineChars="200"/>
        <w:rPr>
          <w:rFonts w:ascii="宋体" w:hAnsi="宋体"/>
          <w:color w:val="auto"/>
          <w:szCs w:val="21"/>
        </w:rPr>
      </w:pPr>
      <w:r>
        <w:rPr>
          <w:rFonts w:hint="eastAsia" w:ascii="宋体" w:hAnsi="宋体"/>
          <w:color w:val="auto"/>
          <w:szCs w:val="21"/>
        </w:rPr>
        <w:t>2、甲方因自身原因未能按本合同约定进行工程分部分项验收的，由甲方承担工程保管及风险责任。</w:t>
      </w:r>
    </w:p>
    <w:p>
      <w:pPr>
        <w:autoSpaceDE w:val="0"/>
        <w:autoSpaceDN w:val="0"/>
        <w:adjustRightInd w:val="0"/>
        <w:spacing w:line="480" w:lineRule="exact"/>
        <w:ind w:firstLine="420" w:firstLineChars="200"/>
        <w:rPr>
          <w:rFonts w:ascii="宋体" w:hAnsi="宋体"/>
          <w:color w:val="auto"/>
          <w:szCs w:val="21"/>
        </w:rPr>
      </w:pPr>
      <w:r>
        <w:rPr>
          <w:rFonts w:hint="eastAsia" w:ascii="宋体" w:hAnsi="宋体"/>
          <w:color w:val="auto"/>
          <w:szCs w:val="21"/>
        </w:rPr>
        <w:t>3、如果甲方未能在约定的时间内支付有关应付的任何款额，甲方可以与乙方达成延期付款协议，甲方应按照延期付款协议的约定向乙方支付。如果未能达成延期付款协议，或虽达成延期付款协议但在延期付款协议约定的延期内仍不能按要求付款，则乙方有权得到未付款额自应付之日起至实际支付日止的利息补偿。除非合同中另有规定，用于计算该利息的利率应按中国人民银行发布的同期贷款利率计算，利息补偿最高不超合同总价款的2%。</w:t>
      </w:r>
    </w:p>
    <w:p>
      <w:pPr>
        <w:autoSpaceDE w:val="0"/>
        <w:autoSpaceDN w:val="0"/>
        <w:adjustRightInd w:val="0"/>
        <w:spacing w:line="480" w:lineRule="exact"/>
        <w:ind w:firstLine="420" w:firstLineChars="200"/>
        <w:rPr>
          <w:rFonts w:hint="eastAsia" w:ascii="宋体" w:hAnsi="宋体"/>
          <w:color w:val="auto"/>
          <w:szCs w:val="21"/>
        </w:rPr>
      </w:pPr>
      <w:r>
        <w:rPr>
          <w:rFonts w:hint="eastAsia" w:ascii="宋体" w:hAnsi="宋体"/>
          <w:color w:val="auto"/>
          <w:szCs w:val="21"/>
        </w:rPr>
        <w:t>4、乙方未能在合同约定工期内通过分部分项验收【包括工程中间交接验收】、工程竣工四方验收的，每逾期一日，按20000元向甲方支付违约金。逾期超过 10 日，甲方有权解除合同，乙方应按工程预算总价款的</w:t>
      </w:r>
      <w:r>
        <w:rPr>
          <w:rFonts w:hint="eastAsia" w:ascii="宋体" w:hAnsi="宋体"/>
          <w:color w:val="auto"/>
          <w:szCs w:val="21"/>
        </w:rPr>
        <w:t>20％</w:t>
      </w:r>
      <w:r>
        <w:rPr>
          <w:rFonts w:hint="eastAsia" w:ascii="宋体" w:hAnsi="宋体"/>
          <w:color w:val="auto"/>
          <w:szCs w:val="21"/>
        </w:rPr>
        <w:t>向甲方支付违约金，并赔偿由此给甲方造成的损失。</w:t>
      </w:r>
    </w:p>
    <w:p>
      <w:pPr>
        <w:autoSpaceDE w:val="0"/>
        <w:autoSpaceDN w:val="0"/>
        <w:adjustRightInd w:val="0"/>
        <w:spacing w:line="480" w:lineRule="exact"/>
        <w:ind w:firstLine="440" w:firstLineChars="200"/>
        <w:rPr>
          <w:rFonts w:hint="eastAsia" w:ascii="宋体" w:hAnsi="宋体"/>
          <w:color w:val="auto"/>
          <w:szCs w:val="21"/>
        </w:rPr>
      </w:pPr>
      <w:r>
        <w:rPr>
          <w:rFonts w:hint="eastAsia" w:ascii="宋体" w:hAnsi="宋体"/>
          <w:color w:val="auto"/>
          <w:sz w:val="22"/>
          <w:szCs w:val="21"/>
        </w:rPr>
        <w:t>乙方应全力配合竣工验收【包括工程中间交接验收</w:t>
      </w:r>
      <w:r>
        <w:rPr>
          <w:rFonts w:hint="eastAsia" w:ascii="宋体" w:hAnsi="宋体"/>
          <w:color w:val="auto"/>
          <w:sz w:val="22"/>
          <w:szCs w:val="21"/>
          <w:highlight w:val="none"/>
        </w:rPr>
        <w:t>】、工程竣工验收，</w:t>
      </w:r>
      <w:r>
        <w:rPr>
          <w:rFonts w:hint="eastAsia" w:ascii="宋体" w:hAnsi="宋体"/>
          <w:color w:val="auto"/>
          <w:sz w:val="22"/>
          <w:szCs w:val="21"/>
        </w:rPr>
        <w:t>若由于乙方原因导致验收延误，或者甲方指定的乙方人员不配合甲方的验收工作安排，甲方有权以每次5000元予以处罚，造成甲方损失的，乙方应予以赔偿。</w:t>
      </w:r>
    </w:p>
    <w:p>
      <w:pPr>
        <w:autoSpaceDE w:val="0"/>
        <w:autoSpaceDN w:val="0"/>
        <w:adjustRightInd w:val="0"/>
        <w:spacing w:line="480" w:lineRule="exact"/>
        <w:ind w:firstLine="420" w:firstLineChars="200"/>
        <w:rPr>
          <w:rFonts w:ascii="宋体" w:hAnsi="宋体"/>
          <w:color w:val="auto"/>
          <w:szCs w:val="21"/>
        </w:rPr>
      </w:pPr>
      <w:r>
        <w:rPr>
          <w:rFonts w:hint="eastAsia" w:ascii="宋体" w:hAnsi="宋体"/>
          <w:color w:val="auto"/>
          <w:szCs w:val="21"/>
        </w:rPr>
        <w:t>5、本工程在实施过程的任何一个环节中，经甲方检查或巡检发现质量未能达标，且无法经过修复满足甲方工程质量标准的，甲方有权解除合同，乙方应按工程预算总造价的10%支付违约金，乙方所有人员、设备必须在甲方解除合同书面通知送达之日起三个工作日内撤离施工现场并向甲方移交有关的所有工程资料，同时，甲方对</w:t>
      </w:r>
      <w:r>
        <w:rPr>
          <w:rFonts w:hint="eastAsia" w:ascii="宋体" w:hAnsi="宋体"/>
          <w:bCs/>
          <w:color w:val="auto"/>
          <w:szCs w:val="21"/>
        </w:rPr>
        <w:t>乙方已完成合格部分的工程量进行结算。</w:t>
      </w:r>
    </w:p>
    <w:p>
      <w:pPr>
        <w:autoSpaceDE w:val="0"/>
        <w:autoSpaceDN w:val="0"/>
        <w:adjustRightInd w:val="0"/>
        <w:spacing w:line="480" w:lineRule="exact"/>
        <w:ind w:firstLine="420" w:firstLineChars="200"/>
        <w:rPr>
          <w:rFonts w:ascii="宋体" w:hAnsi="宋体"/>
          <w:color w:val="auto"/>
          <w:spacing w:val="6"/>
          <w:szCs w:val="21"/>
        </w:rPr>
      </w:pPr>
      <w:r>
        <w:rPr>
          <w:rFonts w:hint="eastAsia" w:ascii="宋体" w:hAnsi="宋体"/>
          <w:color w:val="auto"/>
          <w:szCs w:val="21"/>
        </w:rPr>
        <w:t>6、</w:t>
      </w:r>
      <w:r>
        <w:rPr>
          <w:rFonts w:hint="eastAsia" w:ascii="宋体" w:hAnsi="宋体"/>
          <w:color w:val="auto"/>
          <w:spacing w:val="6"/>
          <w:szCs w:val="21"/>
        </w:rPr>
        <w:t>乙方在施工过程中，除不可抗力或甲方原因外不得以任何理由停工，非上述原因连续停工两个工作日以上的，甲方有权解除合同，乙方应向甲方支付工程预算总价款的10％作为违约金，造成甲方工期延误或其他损失的，乙方应予赔偿。</w:t>
      </w:r>
    </w:p>
    <w:p>
      <w:pPr>
        <w:autoSpaceDE w:val="0"/>
        <w:autoSpaceDN w:val="0"/>
        <w:adjustRightInd w:val="0"/>
        <w:spacing w:line="480" w:lineRule="exact"/>
        <w:ind w:firstLine="444" w:firstLineChars="200"/>
        <w:rPr>
          <w:rFonts w:ascii="宋体" w:hAnsi="宋体"/>
          <w:color w:val="auto"/>
          <w:szCs w:val="21"/>
        </w:rPr>
      </w:pPr>
      <w:r>
        <w:rPr>
          <w:rFonts w:hint="eastAsia" w:ascii="宋体" w:hAnsi="宋体"/>
          <w:color w:val="auto"/>
          <w:spacing w:val="6"/>
          <w:szCs w:val="21"/>
        </w:rPr>
        <w:t>7、</w:t>
      </w:r>
      <w:r>
        <w:rPr>
          <w:rFonts w:hint="eastAsia" w:ascii="宋体" w:hAnsi="宋体"/>
          <w:color w:val="auto"/>
          <w:szCs w:val="21"/>
        </w:rPr>
        <w:t>乙方擅自中途更换工程主要负责人，或乙方现场代表不配合甲方工作或不能胜任工作的，甲方有权要求乙方更换相应人员，乙方应在甲方要求更换之日起五日内更换。否则，甲方有权要求停工，工期不得顺延，由此造成的工期延误的违约责任及甲方的损失由乙方承担。</w:t>
      </w:r>
    </w:p>
    <w:p>
      <w:pPr>
        <w:tabs>
          <w:tab w:val="left" w:pos="1080"/>
          <w:tab w:val="left" w:pos="1440"/>
        </w:tabs>
        <w:spacing w:line="480" w:lineRule="exact"/>
        <w:ind w:firstLine="420" w:firstLineChars="200"/>
        <w:rPr>
          <w:rFonts w:ascii="宋体" w:hAnsi="宋体"/>
          <w:color w:val="auto"/>
          <w:szCs w:val="21"/>
        </w:rPr>
      </w:pPr>
      <w:r>
        <w:rPr>
          <w:rFonts w:hint="eastAsia" w:ascii="宋体" w:hAnsi="宋体"/>
          <w:color w:val="auto"/>
          <w:szCs w:val="21"/>
        </w:rPr>
        <w:t>8、乙方施工须遵守甲方对工程管理的规定，否则甲方有权以每次5000元予以处罚，并要求停工或解除合同；造成甲方损失的，乙方应予以赔偿。</w:t>
      </w:r>
    </w:p>
    <w:p>
      <w:pPr>
        <w:tabs>
          <w:tab w:val="left" w:pos="1080"/>
          <w:tab w:val="left" w:pos="1440"/>
        </w:tabs>
        <w:spacing w:line="480" w:lineRule="exact"/>
        <w:ind w:firstLine="420" w:firstLineChars="200"/>
        <w:rPr>
          <w:rFonts w:ascii="宋体" w:hAnsi="宋体"/>
          <w:color w:val="auto"/>
          <w:szCs w:val="21"/>
        </w:rPr>
      </w:pPr>
      <w:r>
        <w:rPr>
          <w:rFonts w:hint="eastAsia" w:ascii="宋体" w:hAnsi="宋体"/>
          <w:color w:val="auto"/>
          <w:szCs w:val="21"/>
        </w:rPr>
        <w:t>9、乙方人员在施工区内出现打架斗殴、损坏工程成品、安全事故等情况时，所产生的对乙方人员或第三人的损害由乙方承担责任并负责赔偿；由此造成的甲方的损失，由乙方负责全额赔偿。</w:t>
      </w:r>
    </w:p>
    <w:p>
      <w:pPr>
        <w:spacing w:line="480" w:lineRule="exact"/>
        <w:ind w:firstLine="420" w:firstLineChars="200"/>
        <w:rPr>
          <w:rFonts w:ascii="宋体" w:hAnsi="宋体"/>
          <w:color w:val="auto"/>
          <w:szCs w:val="21"/>
        </w:rPr>
      </w:pPr>
      <w:r>
        <w:rPr>
          <w:rFonts w:hint="eastAsia" w:ascii="宋体" w:hAnsi="宋体"/>
          <w:color w:val="auto"/>
          <w:szCs w:val="21"/>
        </w:rPr>
        <w:t>10、甲方根据合同约定解除合同的，乙方所有人员、设备必须在甲方解除合同书面通知送达之日起三个工作日内撤离施工现场并向甲方移交有关的所有工程资料，并在此期限内与甲方共同签证已完成且质量符合本合同约定的工程量。未经甲乙双方共同签证的工程量，或经签证不合格的工程量不得再要求结算。甲方在上述期限过后有权安排新的施工单位进场施工。</w:t>
      </w:r>
    </w:p>
    <w:p>
      <w:pPr>
        <w:spacing w:line="480" w:lineRule="exact"/>
        <w:ind w:firstLine="420" w:firstLineChars="200"/>
        <w:rPr>
          <w:rFonts w:ascii="宋体" w:hAnsi="宋体"/>
          <w:color w:val="auto"/>
          <w:szCs w:val="21"/>
        </w:rPr>
      </w:pPr>
      <w:r>
        <w:rPr>
          <w:rFonts w:hint="eastAsia" w:ascii="宋体" w:hAnsi="宋体"/>
          <w:color w:val="auto"/>
          <w:szCs w:val="21"/>
        </w:rPr>
        <w:t>11、乙方不按时进场开工，在甲方发出书面通知后的</w:t>
      </w:r>
      <w:r>
        <w:rPr>
          <w:rFonts w:hint="eastAsia" w:ascii="宋体" w:hAnsi="宋体"/>
          <w:color w:val="auto"/>
          <w:szCs w:val="21"/>
          <w:u w:val="single"/>
        </w:rPr>
        <w:t xml:space="preserve">  3 </w:t>
      </w:r>
      <w:r>
        <w:rPr>
          <w:rFonts w:hint="eastAsia" w:ascii="宋体" w:hAnsi="宋体"/>
          <w:color w:val="auto"/>
          <w:szCs w:val="21"/>
        </w:rPr>
        <w:t>日内仍不进场施工的，甲方有权解除合同，乙方应向甲方支付工程预算总价款的20％作为违约金，造成甲方工期延误或其它损失的，乙方应予赔偿。</w:t>
      </w:r>
    </w:p>
    <w:p>
      <w:pPr>
        <w:autoSpaceDE w:val="0"/>
        <w:autoSpaceDN w:val="0"/>
        <w:adjustRightInd w:val="0"/>
        <w:spacing w:line="480" w:lineRule="exact"/>
        <w:ind w:firstLine="420" w:firstLineChars="200"/>
        <w:rPr>
          <w:rFonts w:ascii="宋体" w:hAnsi="宋体"/>
          <w:color w:val="auto"/>
          <w:szCs w:val="21"/>
        </w:rPr>
      </w:pPr>
      <w:r>
        <w:rPr>
          <w:rFonts w:hint="eastAsia" w:ascii="宋体" w:hAnsi="宋体"/>
          <w:color w:val="auto"/>
          <w:szCs w:val="21"/>
        </w:rPr>
        <w:t>12、乙方擅自把工程分包或转包给其他任何单位，甲方有权解除合同，乙方应按工程预算总价款的20％向甲方支付违约金，并赔偿甲方因此造成的一切损失。</w:t>
      </w:r>
    </w:p>
    <w:p>
      <w:pPr>
        <w:spacing w:line="480" w:lineRule="exact"/>
        <w:ind w:firstLine="420" w:firstLineChars="200"/>
        <w:rPr>
          <w:rFonts w:ascii="宋体" w:hAnsi="宋体"/>
          <w:color w:val="auto"/>
          <w:szCs w:val="21"/>
        </w:rPr>
      </w:pPr>
      <w:r>
        <w:rPr>
          <w:rFonts w:hint="eastAsia" w:ascii="宋体" w:hAnsi="宋体"/>
          <w:color w:val="auto"/>
          <w:szCs w:val="21"/>
        </w:rPr>
        <w:t>13、如乙方有与甲方工作人员串通进行假签证、违反廉洁协议或者采用其他违反诚实信用原则的不正当手段等损害甲方利益的行为，应承担下列违约责任：</w:t>
      </w:r>
    </w:p>
    <w:p>
      <w:pPr>
        <w:spacing w:line="480" w:lineRule="exact"/>
        <w:ind w:firstLine="420" w:firstLineChars="200"/>
        <w:rPr>
          <w:rFonts w:ascii="宋体" w:hAnsi="宋体"/>
          <w:color w:val="auto"/>
          <w:szCs w:val="21"/>
        </w:rPr>
      </w:pPr>
      <w:r>
        <w:rPr>
          <w:rFonts w:hint="eastAsia" w:ascii="宋体" w:hAnsi="宋体"/>
          <w:color w:val="auto"/>
          <w:szCs w:val="21"/>
        </w:rPr>
        <w:t>(a) 如在合同履行过程中被发现，甲方有权不予支付相应的工程款，并有权单方解除合同，甲方有权在结算金额中扣下合同总价款5%作为乙方支付给甲方的违约金，由此造成的损失均由乙方承担。甲方将乙方在合作单位名单中剔除，日后不再与乙方进行任何合作。</w:t>
      </w:r>
    </w:p>
    <w:p>
      <w:pPr>
        <w:spacing w:line="480" w:lineRule="exact"/>
        <w:ind w:firstLine="420" w:firstLineChars="200"/>
        <w:rPr>
          <w:rFonts w:ascii="宋体" w:hAnsi="宋体"/>
          <w:color w:val="auto"/>
          <w:szCs w:val="21"/>
        </w:rPr>
      </w:pPr>
      <w:r>
        <w:rPr>
          <w:rFonts w:hint="eastAsia" w:ascii="宋体" w:hAnsi="宋体"/>
          <w:color w:val="auto"/>
          <w:szCs w:val="21"/>
        </w:rPr>
        <w:t>(b)如在甲乙双方结算完毕后发现的，乙方应退还相应的工程款，同时甲方向乙方追究合同总价款5%的违约金，且乙方应在收到甲方通知之日起5天内支付（若乙方逾期支付，则每逾期一日，乙方须按应付未付款金额的1‰向甲方支付违约金），由此给甲方造成的损失均由乙方承担。甲方将乙方在合作单位名单中剔除，日后不再与乙方进行任何合作。</w:t>
      </w:r>
    </w:p>
    <w:p>
      <w:pPr>
        <w:spacing w:line="480" w:lineRule="exact"/>
        <w:ind w:firstLine="420" w:firstLineChars="200"/>
        <w:rPr>
          <w:rFonts w:ascii="宋体" w:hAnsi="宋体"/>
          <w:color w:val="auto"/>
          <w:szCs w:val="21"/>
        </w:rPr>
      </w:pPr>
      <w:r>
        <w:rPr>
          <w:rFonts w:hint="eastAsia" w:ascii="宋体" w:hAnsi="宋体"/>
          <w:color w:val="auto"/>
          <w:szCs w:val="21"/>
        </w:rPr>
        <w:t>14、乙方未按合同约定及时向甲方提交竣工结算书及完整的竣工结算资料或提交后未按甲方通知的时间和甲方核对工程价款的，每逾期一日，按工程预算总价款的1‰向甲方支付违约金。该违约金应在收到甲方通知之日起五日内支付。</w:t>
      </w:r>
    </w:p>
    <w:p>
      <w:pPr>
        <w:spacing w:line="480" w:lineRule="exact"/>
        <w:ind w:firstLine="420" w:firstLineChars="200"/>
        <w:rPr>
          <w:rFonts w:ascii="宋体" w:hAnsi="宋体"/>
          <w:color w:val="auto"/>
          <w:szCs w:val="21"/>
        </w:rPr>
      </w:pPr>
      <w:r>
        <w:rPr>
          <w:rFonts w:hint="eastAsia" w:ascii="宋体" w:hAnsi="宋体"/>
          <w:color w:val="auto"/>
          <w:szCs w:val="21"/>
        </w:rPr>
        <w:t>15、乙方现场施工未能达到甲方工程管理要求（包括但不限于工期延误，质量不达标，未按施工标准施工等）造成甲方损失或接受第三方处罚的，甲方有权要求乙方进行赔偿。</w:t>
      </w:r>
    </w:p>
    <w:p>
      <w:pPr>
        <w:spacing w:line="480" w:lineRule="exact"/>
        <w:ind w:firstLine="420" w:firstLineChars="200"/>
        <w:rPr>
          <w:rFonts w:ascii="宋体" w:hAnsi="宋体"/>
          <w:color w:val="auto"/>
          <w:szCs w:val="21"/>
        </w:rPr>
      </w:pPr>
      <w:r>
        <w:rPr>
          <w:rFonts w:hint="eastAsia" w:ascii="宋体" w:hAnsi="宋体"/>
          <w:color w:val="auto"/>
          <w:szCs w:val="21"/>
        </w:rPr>
        <w:t>16、乙方对本项目的工期、质量、安全、文明施工，以及劳资和债务等负全部责任，所发生的一切事故的责任和费用全部由乙方承担。如施工过程中发生工伤、安全、劳资等投诉、群聚等事件，甲方视其事件的严重状况及按甲方管理制度规定确定给予乙方处罚，同时乙方承担给甲方和投诉方造成的一切经济及名誉等损失。</w:t>
      </w:r>
    </w:p>
    <w:p>
      <w:pPr>
        <w:spacing w:line="480" w:lineRule="exact"/>
        <w:ind w:firstLine="420" w:firstLineChars="200"/>
        <w:rPr>
          <w:rFonts w:ascii="宋体" w:hAnsi="宋体"/>
          <w:color w:val="auto"/>
          <w:szCs w:val="21"/>
        </w:rPr>
      </w:pPr>
      <w:r>
        <w:rPr>
          <w:rFonts w:hint="eastAsia" w:ascii="宋体" w:hAnsi="宋体"/>
          <w:color w:val="auto"/>
          <w:szCs w:val="21"/>
        </w:rPr>
        <w:t>17、乙方应向甲方支付的违约金，甲方有权在应付未付款中扣除，违约金不足以弥补甲方损失的，甲方可继续向乙方追偿。</w:t>
      </w:r>
    </w:p>
    <w:p>
      <w:pPr>
        <w:spacing w:line="480" w:lineRule="exact"/>
        <w:ind w:firstLine="420" w:firstLineChars="200"/>
        <w:rPr>
          <w:rFonts w:hint="eastAsia" w:ascii="宋体" w:hAnsi="宋体"/>
          <w:color w:val="auto"/>
          <w:szCs w:val="21"/>
        </w:rPr>
      </w:pPr>
      <w:r>
        <w:rPr>
          <w:rFonts w:hint="eastAsia" w:ascii="宋体" w:hAnsi="宋体"/>
          <w:color w:val="auto"/>
          <w:szCs w:val="21"/>
        </w:rPr>
        <w:t>18、施工过程中，甲方提出终止合同，仅需按已完成的合格的工程量依照工程量清单的价格计取工程价款，按实结算给乙方，不承担违约责任。</w:t>
      </w:r>
    </w:p>
    <w:p>
      <w:pPr>
        <w:spacing w:line="480" w:lineRule="exact"/>
        <w:ind w:firstLine="420" w:firstLineChars="200"/>
        <w:rPr>
          <w:rFonts w:hint="default" w:ascii="宋体" w:hAnsi="宋体" w:eastAsia="宋体" w:cs="Times New Roman"/>
          <w:color w:val="auto"/>
          <w:kern w:val="2"/>
          <w:sz w:val="21"/>
          <w:szCs w:val="21"/>
          <w:lang w:val="en-US" w:eastAsia="zh-CN" w:bidi="ar-SA"/>
        </w:rPr>
      </w:pPr>
      <w:r>
        <w:rPr>
          <w:rFonts w:hint="eastAsia" w:ascii="宋体" w:hAnsi="宋体"/>
          <w:color w:val="auto"/>
          <w:szCs w:val="21"/>
        </w:rPr>
        <w:t>19、</w:t>
      </w:r>
      <w:r>
        <w:rPr>
          <w:rFonts w:hint="eastAsia" w:ascii="宋体" w:hAnsi="宋体" w:eastAsia="宋体" w:cs="Times New Roman"/>
          <w:color w:val="auto"/>
          <w:kern w:val="2"/>
          <w:sz w:val="21"/>
          <w:szCs w:val="21"/>
          <w:lang w:val="en-US" w:eastAsia="zh-CN" w:bidi="ar-SA"/>
        </w:rPr>
        <w:t>对于乙方出现本合同约定的违约情形，甲方通过诉讼或仲裁途径追究乙方违约责任的，乙方还应承担由此产生的诉讼（仲裁）费、律师费（律师费按广东省律师服务收费管理实施办法计算）、交通费、差旅费、保全费、保全担保费、执行费等费用。</w:t>
      </w:r>
    </w:p>
    <w:p>
      <w:pPr>
        <w:spacing w:line="480" w:lineRule="exact"/>
        <w:rPr>
          <w:rFonts w:ascii="宋体" w:hAnsi="宋体"/>
          <w:b/>
          <w:color w:val="auto"/>
          <w:szCs w:val="21"/>
        </w:rPr>
      </w:pPr>
      <w:r>
        <w:rPr>
          <w:rFonts w:hint="eastAsia" w:ascii="宋体" w:hAnsi="宋体"/>
          <w:b/>
          <w:color w:val="auto"/>
          <w:szCs w:val="21"/>
        </w:rPr>
        <w:t>第十六条   转让条款</w:t>
      </w:r>
    </w:p>
    <w:p>
      <w:pPr>
        <w:spacing w:line="480" w:lineRule="exact"/>
        <w:ind w:firstLine="420" w:firstLineChars="200"/>
        <w:rPr>
          <w:rFonts w:ascii="宋体" w:hAnsi="宋体"/>
          <w:color w:val="auto"/>
          <w:szCs w:val="21"/>
        </w:rPr>
      </w:pPr>
      <w:r>
        <w:rPr>
          <w:rFonts w:hint="eastAsia" w:ascii="宋体" w:hAnsi="宋体"/>
          <w:color w:val="auto"/>
          <w:szCs w:val="21"/>
        </w:rPr>
        <w:t>未经甲方书面同意，乙方不得全部或部分转让其在本合同项下的权利和义务。</w:t>
      </w:r>
    </w:p>
    <w:p>
      <w:pPr>
        <w:spacing w:line="480" w:lineRule="exact"/>
        <w:rPr>
          <w:rFonts w:ascii="宋体" w:hAnsi="宋体"/>
          <w:b/>
          <w:color w:val="auto"/>
          <w:szCs w:val="21"/>
        </w:rPr>
      </w:pPr>
      <w:r>
        <w:rPr>
          <w:rFonts w:hint="eastAsia" w:ascii="宋体" w:hAnsi="宋体"/>
          <w:b/>
          <w:color w:val="auto"/>
          <w:szCs w:val="21"/>
        </w:rPr>
        <w:t>第十七条  保险条款</w:t>
      </w:r>
    </w:p>
    <w:p>
      <w:pPr>
        <w:spacing w:line="480" w:lineRule="exact"/>
        <w:ind w:firstLine="420" w:firstLineChars="200"/>
        <w:rPr>
          <w:rFonts w:ascii="宋体" w:hAnsi="宋体"/>
          <w:color w:val="auto"/>
          <w:szCs w:val="21"/>
        </w:rPr>
      </w:pPr>
      <w:r>
        <w:rPr>
          <w:rFonts w:hint="eastAsia" w:ascii="宋体" w:hAnsi="宋体"/>
          <w:color w:val="auto"/>
          <w:szCs w:val="21"/>
        </w:rPr>
        <w:t>建筑工程施工人员人身意外伤害保险由乙方统一投保。发生意外伤害后乙方须立刻通知甲方并在12小时内按照保险公司要求准备保险索赔资料。如因乙方准备的索赔资料不齐全导致乙方无法全额索赔，则损失由乙方承担；保险索赔过程中协调费处理费用由乙方承担。发生事故或工伤后，乙方必须先行承担（垫付）伤者的医疗费、生活费、护理费等费用。如发生意外伤害，超出保险公司索赔范围外费用由乙方承担，双方对此无异议。</w:t>
      </w:r>
    </w:p>
    <w:p>
      <w:pPr>
        <w:spacing w:line="480" w:lineRule="exact"/>
        <w:rPr>
          <w:rFonts w:ascii="宋体" w:hAnsi="宋体"/>
          <w:b/>
          <w:color w:val="auto"/>
          <w:szCs w:val="21"/>
        </w:rPr>
      </w:pPr>
      <w:r>
        <w:rPr>
          <w:rFonts w:hint="eastAsia" w:ascii="宋体" w:hAnsi="宋体"/>
          <w:b/>
          <w:color w:val="auto"/>
          <w:szCs w:val="21"/>
        </w:rPr>
        <w:t>第十八条  合同终止</w:t>
      </w:r>
    </w:p>
    <w:p>
      <w:pPr>
        <w:spacing w:line="480" w:lineRule="exact"/>
        <w:ind w:firstLine="420" w:firstLineChars="200"/>
        <w:rPr>
          <w:rFonts w:ascii="宋体" w:hAnsi="宋体"/>
          <w:color w:val="auto"/>
          <w:szCs w:val="21"/>
        </w:rPr>
      </w:pPr>
      <w:r>
        <w:rPr>
          <w:rFonts w:hint="eastAsia" w:ascii="宋体" w:hAnsi="宋体"/>
          <w:color w:val="auto"/>
          <w:szCs w:val="21"/>
        </w:rPr>
        <w:t>（一）因解除而终止</w:t>
      </w:r>
    </w:p>
    <w:p>
      <w:pPr>
        <w:spacing w:line="480" w:lineRule="exact"/>
        <w:ind w:firstLine="420" w:firstLineChars="200"/>
        <w:rPr>
          <w:rFonts w:ascii="宋体" w:hAnsi="宋体"/>
          <w:color w:val="auto"/>
          <w:szCs w:val="21"/>
        </w:rPr>
      </w:pPr>
      <w:r>
        <w:rPr>
          <w:rFonts w:hint="eastAsia" w:ascii="宋体" w:hAnsi="宋体"/>
          <w:color w:val="auto"/>
          <w:szCs w:val="21"/>
        </w:rPr>
        <w:t>1、由于乙方违约造成本合同不能履行或不能完全履行，如果甲方认为本合同已无必要继续履行或乙方在收到甲方要求其纠正违约的通知后仍不纠正其违约行为，则甲方有权向乙方发出解除本合同的书面通知，该通知自送达乙方时生效，乙方应按本合同约定承担违约责任，违约金不足以弥补甲方损失的，甲方可以继续向乙方追偿。</w:t>
      </w:r>
    </w:p>
    <w:p>
      <w:pPr>
        <w:spacing w:line="480" w:lineRule="exact"/>
        <w:ind w:firstLine="420" w:firstLineChars="200"/>
        <w:rPr>
          <w:rFonts w:ascii="宋体" w:hAnsi="宋体"/>
          <w:color w:val="auto"/>
          <w:szCs w:val="21"/>
        </w:rPr>
      </w:pPr>
      <w:r>
        <w:rPr>
          <w:rFonts w:hint="eastAsia" w:ascii="宋体" w:hAnsi="宋体"/>
          <w:color w:val="auto"/>
          <w:szCs w:val="21"/>
        </w:rPr>
        <w:t>2、由于甲方违约造成本合同不能履行或不能完全履行，如果甲方在收到乙方要求其纠正违约的通知后仍不纠正其违约行为，则乙方有权向甲方发出解除本合同的书面通知，该通知自送达甲方时生效，甲方应向乙方支付双方确认已完成工作量的款项，并按本合同约定承担违约责任。</w:t>
      </w:r>
    </w:p>
    <w:p>
      <w:pPr>
        <w:spacing w:line="480" w:lineRule="exact"/>
        <w:ind w:firstLine="420" w:firstLineChars="200"/>
        <w:rPr>
          <w:rFonts w:ascii="宋体" w:hAnsi="宋体"/>
          <w:color w:val="auto"/>
          <w:szCs w:val="21"/>
        </w:rPr>
      </w:pPr>
      <w:r>
        <w:rPr>
          <w:rFonts w:hint="eastAsia" w:ascii="宋体" w:hAnsi="宋体"/>
          <w:color w:val="auto"/>
          <w:szCs w:val="21"/>
        </w:rPr>
        <w:t>3、</w:t>
      </w:r>
      <w:r>
        <w:rPr>
          <w:rFonts w:hint="eastAsia" w:ascii="宋体" w:hAnsi="宋体"/>
          <w:color w:val="auto"/>
          <w:szCs w:val="21"/>
        </w:rPr>
        <w:t>未经甲方书面同意，乙方将本工程进行分包或转包的，甲方有权即时解除合同。</w:t>
      </w:r>
    </w:p>
    <w:p>
      <w:pPr>
        <w:spacing w:line="480" w:lineRule="exact"/>
        <w:ind w:firstLine="420" w:firstLineChars="200"/>
        <w:rPr>
          <w:rFonts w:ascii="宋体" w:hAnsi="宋体"/>
          <w:color w:val="auto"/>
          <w:szCs w:val="21"/>
        </w:rPr>
      </w:pPr>
      <w:r>
        <w:rPr>
          <w:rFonts w:hint="eastAsia" w:ascii="宋体" w:hAnsi="宋体"/>
          <w:color w:val="auto"/>
          <w:szCs w:val="21"/>
        </w:rPr>
        <w:t>4、合同一方依本合同约定行使解除权的，合同自解除通知送达之日起终止。</w:t>
      </w:r>
    </w:p>
    <w:p>
      <w:pPr>
        <w:spacing w:line="480" w:lineRule="exact"/>
        <w:ind w:firstLine="420" w:firstLineChars="200"/>
        <w:rPr>
          <w:rFonts w:ascii="宋体" w:hAnsi="宋体"/>
          <w:color w:val="auto"/>
          <w:szCs w:val="21"/>
        </w:rPr>
      </w:pPr>
      <w:r>
        <w:rPr>
          <w:rFonts w:hint="eastAsia" w:ascii="宋体" w:hAnsi="宋体"/>
          <w:color w:val="auto"/>
          <w:szCs w:val="21"/>
        </w:rPr>
        <w:t>5、合同终止后，不妨碍一方向违约方追究违约责任。</w:t>
      </w:r>
    </w:p>
    <w:p>
      <w:pPr>
        <w:spacing w:line="480" w:lineRule="exact"/>
        <w:ind w:firstLine="420" w:firstLineChars="200"/>
        <w:rPr>
          <w:rFonts w:ascii="宋体" w:hAnsi="宋体"/>
          <w:color w:val="auto"/>
          <w:szCs w:val="21"/>
        </w:rPr>
      </w:pPr>
      <w:r>
        <w:rPr>
          <w:rFonts w:hint="eastAsia" w:ascii="宋体" w:hAnsi="宋体"/>
          <w:color w:val="auto"/>
          <w:szCs w:val="21"/>
        </w:rPr>
        <w:t xml:space="preserve">  （二）有下列情形之一的， 合同权利义务终止：</w:t>
      </w:r>
    </w:p>
    <w:p>
      <w:pPr>
        <w:spacing w:line="480" w:lineRule="exact"/>
        <w:ind w:firstLine="420" w:firstLineChars="200"/>
        <w:rPr>
          <w:rFonts w:ascii="宋体" w:hAnsi="宋体"/>
          <w:color w:val="auto"/>
          <w:szCs w:val="21"/>
        </w:rPr>
      </w:pPr>
      <w:r>
        <w:rPr>
          <w:rFonts w:hint="eastAsia" w:ascii="宋体" w:hAnsi="宋体"/>
          <w:color w:val="auto"/>
          <w:szCs w:val="21"/>
        </w:rPr>
        <w:t>1、本合同已按约定履行完毕；</w:t>
      </w:r>
    </w:p>
    <w:p>
      <w:pPr>
        <w:spacing w:line="480" w:lineRule="exact"/>
        <w:ind w:firstLine="420" w:firstLineChars="200"/>
        <w:rPr>
          <w:rFonts w:ascii="宋体" w:hAnsi="宋体"/>
          <w:color w:val="auto"/>
          <w:szCs w:val="21"/>
        </w:rPr>
      </w:pPr>
      <w:r>
        <w:rPr>
          <w:rFonts w:hint="eastAsia" w:ascii="宋体" w:hAnsi="宋体"/>
          <w:color w:val="auto"/>
          <w:szCs w:val="21"/>
        </w:rPr>
        <w:t>2、本合同经各方协商一致而终止；</w:t>
      </w:r>
    </w:p>
    <w:p>
      <w:pPr>
        <w:spacing w:line="480" w:lineRule="exact"/>
        <w:ind w:firstLine="420" w:firstLineChars="200"/>
        <w:rPr>
          <w:rFonts w:ascii="宋体" w:hAnsi="宋体"/>
          <w:color w:val="auto"/>
          <w:szCs w:val="21"/>
        </w:rPr>
      </w:pPr>
      <w:r>
        <w:rPr>
          <w:rFonts w:hint="eastAsia" w:ascii="宋体" w:hAnsi="宋体"/>
          <w:color w:val="auto"/>
          <w:szCs w:val="21"/>
        </w:rPr>
        <w:t>3、本合同因一方出现本条第（一）款的违约情况（包括一方擅自转让本合同项下权利义务行为），另一方发出解除合同的通知；</w:t>
      </w:r>
    </w:p>
    <w:p>
      <w:pPr>
        <w:spacing w:line="480" w:lineRule="exact"/>
        <w:ind w:firstLine="420" w:firstLineChars="200"/>
        <w:rPr>
          <w:rFonts w:ascii="宋体" w:hAnsi="宋体"/>
          <w:color w:val="auto"/>
          <w:szCs w:val="21"/>
        </w:rPr>
      </w:pPr>
      <w:r>
        <w:rPr>
          <w:rFonts w:hint="eastAsia" w:ascii="宋体" w:hAnsi="宋体"/>
          <w:color w:val="auto"/>
          <w:szCs w:val="21"/>
        </w:rPr>
        <w:t>4、法律法规规定终止的其他情形。</w:t>
      </w:r>
    </w:p>
    <w:p>
      <w:pPr>
        <w:spacing w:line="480" w:lineRule="exact"/>
        <w:rPr>
          <w:rFonts w:ascii="宋体" w:hAnsi="宋体"/>
          <w:b/>
          <w:color w:val="auto"/>
          <w:szCs w:val="21"/>
        </w:rPr>
      </w:pPr>
      <w:r>
        <w:rPr>
          <w:rFonts w:hint="eastAsia" w:ascii="宋体" w:hAnsi="宋体"/>
          <w:b/>
          <w:color w:val="auto"/>
          <w:szCs w:val="21"/>
        </w:rPr>
        <w:t>第十九条  保密条款</w:t>
      </w:r>
    </w:p>
    <w:p>
      <w:pPr>
        <w:spacing w:line="480" w:lineRule="exact"/>
        <w:ind w:firstLine="420" w:firstLineChars="200"/>
        <w:rPr>
          <w:rFonts w:ascii="宋体" w:hAnsi="宋体"/>
          <w:color w:val="auto"/>
          <w:szCs w:val="21"/>
        </w:rPr>
      </w:pPr>
      <w:r>
        <w:rPr>
          <w:rFonts w:hint="eastAsia" w:ascii="宋体" w:hAnsi="宋体"/>
          <w:color w:val="auto"/>
          <w:szCs w:val="21"/>
        </w:rPr>
        <w:t>1、在本合同订立前、履行中及终止后，未经合同其他方书面同意，任何一方对本合同和各方相互提供的资料、信息（包括但不限于商业秘密、技术资料、图纸、数据、以及与业务有关的客户的信息及其他信息等）负保密责任。</w:t>
      </w:r>
    </w:p>
    <w:p>
      <w:pPr>
        <w:spacing w:line="480" w:lineRule="exact"/>
        <w:ind w:firstLine="420" w:firstLineChars="200"/>
        <w:rPr>
          <w:rFonts w:ascii="宋体" w:hAnsi="宋体"/>
          <w:color w:val="auto"/>
          <w:szCs w:val="21"/>
        </w:rPr>
      </w:pPr>
      <w:r>
        <w:rPr>
          <w:rFonts w:hint="eastAsia" w:ascii="宋体" w:hAnsi="宋体"/>
          <w:color w:val="auto"/>
          <w:szCs w:val="21"/>
        </w:rPr>
        <w:t>2、一方违反上述约定的，责任方应按工程预算总价款的10％向合同其他方支付违约金，违约金不足以赔偿合同其他方损失的，应按合同其他方的实际损失赔偿。</w:t>
      </w:r>
    </w:p>
    <w:p>
      <w:pPr>
        <w:spacing w:line="480" w:lineRule="exact"/>
        <w:ind w:firstLine="420" w:firstLineChars="200"/>
        <w:rPr>
          <w:rFonts w:ascii="宋体" w:hAnsi="宋体"/>
          <w:color w:val="auto"/>
          <w:szCs w:val="21"/>
        </w:rPr>
      </w:pPr>
      <w:r>
        <w:rPr>
          <w:rFonts w:hint="eastAsia" w:ascii="宋体" w:hAnsi="宋体"/>
          <w:color w:val="auto"/>
          <w:szCs w:val="21"/>
        </w:rPr>
        <w:t>3、本保密条款具有独立性，不受本合同的终止或解除的影响。</w:t>
      </w:r>
    </w:p>
    <w:p>
      <w:pPr>
        <w:spacing w:line="480" w:lineRule="exact"/>
        <w:rPr>
          <w:rFonts w:ascii="宋体" w:hAnsi="宋体"/>
          <w:b/>
          <w:color w:val="auto"/>
          <w:szCs w:val="21"/>
        </w:rPr>
      </w:pPr>
      <w:r>
        <w:rPr>
          <w:rFonts w:hint="eastAsia" w:ascii="宋体" w:hAnsi="宋体"/>
          <w:b/>
          <w:color w:val="auto"/>
          <w:szCs w:val="21"/>
        </w:rPr>
        <w:t>第二十条  不可抗力条款</w:t>
      </w:r>
    </w:p>
    <w:p>
      <w:pPr>
        <w:spacing w:line="480" w:lineRule="exact"/>
        <w:ind w:firstLine="420" w:firstLineChars="200"/>
        <w:rPr>
          <w:rFonts w:ascii="宋体" w:hAnsi="宋体"/>
          <w:color w:val="auto"/>
          <w:szCs w:val="21"/>
        </w:rPr>
      </w:pPr>
      <w:r>
        <w:rPr>
          <w:rFonts w:hint="eastAsia" w:ascii="宋体" w:hAnsi="宋体"/>
          <w:color w:val="auto"/>
          <w:szCs w:val="21"/>
        </w:rPr>
        <w:t>由于不能预见、不能避免和不能克服的自然原因或社会原因，致使本合同不能履行或者不能完全履行时，遇到上述不可抗力事件的一方，应立即书面通知合同其他方，并应在不可抗力事件发生后十五日内，向合同其他方提供经不可抗力事件发生地区县级以上政府部门出具的证明合同不能履行或需要延期履行、部分履行的有效证明文件。由合同各方按事件对履行合同影响的程度协商决定是否解除合同、或者部分或全部免除履行合同的责任、或者延期履行合同。</w:t>
      </w:r>
    </w:p>
    <w:p>
      <w:pPr>
        <w:spacing w:line="480" w:lineRule="exact"/>
        <w:ind w:firstLine="420" w:firstLineChars="200"/>
        <w:rPr>
          <w:rFonts w:ascii="宋体" w:hAnsi="宋体"/>
          <w:color w:val="auto"/>
          <w:szCs w:val="21"/>
        </w:rPr>
      </w:pPr>
      <w:r>
        <w:rPr>
          <w:rFonts w:hint="eastAsia" w:ascii="宋体" w:hAnsi="宋体"/>
          <w:color w:val="auto"/>
          <w:szCs w:val="21"/>
        </w:rPr>
        <w:t>遭受不可抗力的一方未履行上述义务的，不能免除其违约责任。</w:t>
      </w:r>
    </w:p>
    <w:p>
      <w:pPr>
        <w:spacing w:line="480" w:lineRule="exact"/>
        <w:rPr>
          <w:rFonts w:ascii="宋体" w:hAnsi="宋体"/>
          <w:b/>
          <w:color w:val="auto"/>
          <w:szCs w:val="21"/>
        </w:rPr>
      </w:pPr>
      <w:r>
        <w:rPr>
          <w:rFonts w:hint="eastAsia" w:ascii="宋体" w:hAnsi="宋体"/>
          <w:b/>
          <w:color w:val="auto"/>
          <w:szCs w:val="21"/>
        </w:rPr>
        <w:t>第二十一条  适用法律条款</w:t>
      </w:r>
    </w:p>
    <w:p>
      <w:pPr>
        <w:spacing w:line="480" w:lineRule="exact"/>
        <w:ind w:firstLine="452" w:firstLineChars="200"/>
        <w:rPr>
          <w:rFonts w:ascii="宋体" w:hAnsi="宋体"/>
          <w:color w:val="auto"/>
          <w:spacing w:val="8"/>
          <w:szCs w:val="21"/>
        </w:rPr>
      </w:pPr>
      <w:r>
        <w:rPr>
          <w:rFonts w:hint="eastAsia" w:ascii="宋体" w:hAnsi="宋体"/>
          <w:color w:val="auto"/>
          <w:spacing w:val="8"/>
          <w:szCs w:val="21"/>
        </w:rPr>
        <w:t>本合同的订立、效力、解释、履行和争议的解决均适用中华人民共和国法律法规。</w:t>
      </w:r>
    </w:p>
    <w:p>
      <w:pPr>
        <w:spacing w:line="480" w:lineRule="exact"/>
        <w:rPr>
          <w:rFonts w:hint="eastAsia" w:ascii="宋体" w:hAnsi="宋体"/>
          <w:b/>
          <w:color w:val="auto"/>
          <w:szCs w:val="21"/>
        </w:rPr>
      </w:pPr>
      <w:r>
        <w:rPr>
          <w:rFonts w:hint="eastAsia" w:ascii="宋体" w:hAnsi="宋体"/>
          <w:b/>
          <w:color w:val="auto"/>
          <w:szCs w:val="21"/>
        </w:rPr>
        <w:t>第二十二条  通知与送达</w:t>
      </w:r>
    </w:p>
    <w:p>
      <w:pPr>
        <w:spacing w:line="480" w:lineRule="exact"/>
        <w:ind w:firstLine="420" w:firstLineChars="200"/>
        <w:rPr>
          <w:rFonts w:hint="eastAsia" w:ascii="宋体" w:hAnsi="宋体"/>
          <w:color w:val="auto"/>
          <w:szCs w:val="21"/>
        </w:rPr>
      </w:pPr>
      <w:r>
        <w:rPr>
          <w:rFonts w:hint="eastAsia" w:ascii="宋体" w:hAnsi="宋体"/>
          <w:color w:val="auto"/>
          <w:szCs w:val="21"/>
        </w:rPr>
        <w:t>凡本合同履行过程中的通知、文件、法律文书等，均以下述方式作为甲乙双方确认之有效送达方式。如任一方变更，须提前书面通知对方，否则，由此导致的相关通知、文件、法律文书等退件、拒收、无法送达等情形均视为送达成功。且如采用邮寄方式送达，自发出之日起三日后即视为成功送达，如采用电子方式送达的，自相关信息发出之日即视为成功送达。</w:t>
      </w:r>
    </w:p>
    <w:p>
      <w:pPr>
        <w:spacing w:line="480" w:lineRule="exact"/>
        <w:ind w:firstLine="420" w:firstLineChars="200"/>
        <w:rPr>
          <w:rFonts w:hint="eastAsia" w:ascii="宋体" w:hAnsi="宋体"/>
          <w:color w:val="auto"/>
          <w:szCs w:val="21"/>
        </w:rPr>
      </w:pPr>
      <w:r>
        <w:rPr>
          <w:rFonts w:hint="eastAsia" w:ascii="宋体" w:hAnsi="宋体"/>
          <w:color w:val="auto"/>
          <w:szCs w:val="21"/>
        </w:rPr>
        <w:t>甲方：邮寄送达地址：               ，收件人：      ，联系电话：              ；指定联系人（姓名：     ，职务：     ）的电子送达地址：微信号：          ，邮箱：          。</w:t>
      </w:r>
    </w:p>
    <w:p>
      <w:pPr>
        <w:spacing w:line="480" w:lineRule="exact"/>
        <w:ind w:firstLine="420" w:firstLineChars="200"/>
        <w:rPr>
          <w:rFonts w:hint="eastAsia" w:ascii="宋体" w:hAnsi="宋体"/>
          <w:color w:val="auto"/>
          <w:szCs w:val="21"/>
        </w:rPr>
      </w:pPr>
      <w:r>
        <w:rPr>
          <w:rFonts w:hint="eastAsia" w:ascii="宋体" w:hAnsi="宋体"/>
          <w:color w:val="auto"/>
          <w:szCs w:val="21"/>
        </w:rPr>
        <w:t>乙方：邮寄送达地址：               ，收件人：      ，联系电话：              ；指定联系人（姓名：     ，职务：     ）的电子送达地址：微信号：          ，邮箱：          。</w:t>
      </w:r>
    </w:p>
    <w:p>
      <w:pPr>
        <w:spacing w:line="480" w:lineRule="exact"/>
        <w:rPr>
          <w:rFonts w:ascii="宋体" w:hAnsi="宋体"/>
          <w:b/>
          <w:color w:val="auto"/>
          <w:szCs w:val="21"/>
        </w:rPr>
      </w:pPr>
      <w:r>
        <w:rPr>
          <w:rFonts w:hint="eastAsia" w:ascii="宋体" w:hAnsi="宋体"/>
          <w:b/>
          <w:color w:val="auto"/>
          <w:szCs w:val="21"/>
        </w:rPr>
        <w:t>第二十三条  争议的解决</w:t>
      </w:r>
    </w:p>
    <w:p>
      <w:pPr>
        <w:spacing w:line="480" w:lineRule="exact"/>
        <w:ind w:firstLine="452" w:firstLineChars="200"/>
        <w:rPr>
          <w:rFonts w:ascii="宋体" w:hAnsi="宋体"/>
          <w:color w:val="auto"/>
          <w:spacing w:val="8"/>
          <w:szCs w:val="21"/>
        </w:rPr>
      </w:pPr>
      <w:r>
        <w:rPr>
          <w:rFonts w:hint="eastAsia" w:ascii="宋体" w:hAnsi="宋体"/>
          <w:color w:val="auto"/>
          <w:spacing w:val="8"/>
          <w:szCs w:val="21"/>
        </w:rPr>
        <w:t>履行合同时发生争议，可以和解或者要求有关部门调解。当事人不愿和解、调解或者和解、调解不成的，任何一方可以向本工程所在地人民法院提起诉讼。</w:t>
      </w:r>
    </w:p>
    <w:p>
      <w:pPr>
        <w:spacing w:line="480" w:lineRule="exact"/>
        <w:rPr>
          <w:rFonts w:ascii="宋体" w:hAnsi="宋体"/>
          <w:b/>
          <w:color w:val="auto"/>
          <w:szCs w:val="21"/>
        </w:rPr>
      </w:pPr>
      <w:r>
        <w:rPr>
          <w:rFonts w:hint="eastAsia" w:ascii="宋体" w:hAnsi="宋体"/>
          <w:b/>
          <w:color w:val="auto"/>
          <w:szCs w:val="21"/>
        </w:rPr>
        <w:t>第二十四条  其它</w:t>
      </w:r>
    </w:p>
    <w:p>
      <w:pPr>
        <w:spacing w:line="480" w:lineRule="exact"/>
        <w:ind w:firstLine="512"/>
        <w:rPr>
          <w:rFonts w:ascii="宋体" w:hAnsi="宋体"/>
          <w:color w:val="auto"/>
          <w:spacing w:val="8"/>
          <w:szCs w:val="21"/>
        </w:rPr>
      </w:pPr>
      <w:r>
        <w:rPr>
          <w:rFonts w:hint="eastAsia" w:ascii="宋体" w:hAnsi="宋体"/>
          <w:color w:val="auto"/>
          <w:spacing w:val="8"/>
          <w:szCs w:val="21"/>
        </w:rPr>
        <w:t>1、</w:t>
      </w:r>
      <w:bookmarkStart w:id="26" w:name="OLE_LINK2"/>
      <w:bookmarkStart w:id="27" w:name="OLE_LINK3"/>
      <w:r>
        <w:rPr>
          <w:rFonts w:hint="eastAsia" w:ascii="宋体" w:hAnsi="宋体"/>
          <w:color w:val="auto"/>
          <w:spacing w:val="8"/>
          <w:szCs w:val="21"/>
        </w:rPr>
        <w:t>各方应确保本合同所记载地址或传真号码准确无误，如发生变更应及时书面通知其他方，否则送达不能造成的一切损失和责任，由该方自行承担。</w:t>
      </w:r>
      <w:bookmarkEnd w:id="26"/>
      <w:bookmarkEnd w:id="27"/>
    </w:p>
    <w:p>
      <w:pPr>
        <w:spacing w:line="480" w:lineRule="exact"/>
        <w:ind w:firstLine="512"/>
        <w:rPr>
          <w:rFonts w:ascii="宋体" w:hAnsi="宋体"/>
          <w:color w:val="auto"/>
          <w:szCs w:val="21"/>
        </w:rPr>
      </w:pPr>
      <w:r>
        <w:rPr>
          <w:rFonts w:hint="eastAsia" w:ascii="宋体" w:hAnsi="宋体"/>
          <w:color w:val="auto"/>
          <w:szCs w:val="21"/>
        </w:rPr>
        <w:t>2、本合同未尽事宜，由甲乙双方友好协商，另签订补充协议。补充协议与本合同具同等法律效力。</w:t>
      </w:r>
    </w:p>
    <w:p>
      <w:pPr>
        <w:spacing w:line="480" w:lineRule="exact"/>
        <w:ind w:firstLine="420" w:firstLineChars="200"/>
        <w:rPr>
          <w:rFonts w:ascii="宋体" w:hAnsi="宋体"/>
          <w:color w:val="auto"/>
          <w:szCs w:val="21"/>
        </w:rPr>
      </w:pPr>
      <w:r>
        <w:rPr>
          <w:rFonts w:hint="eastAsia" w:ascii="宋体" w:hAnsi="宋体"/>
          <w:color w:val="auto"/>
          <w:szCs w:val="21"/>
        </w:rPr>
        <w:t>3、本合同一式</w:t>
      </w:r>
      <w:r>
        <w:rPr>
          <w:rFonts w:hint="eastAsia" w:ascii="宋体" w:hAnsi="宋体"/>
          <w:color w:val="auto"/>
          <w:szCs w:val="21"/>
          <w:u w:val="single"/>
        </w:rPr>
        <w:t>陆</w:t>
      </w:r>
      <w:r>
        <w:rPr>
          <w:rFonts w:hint="eastAsia" w:ascii="宋体" w:hAnsi="宋体"/>
          <w:color w:val="auto"/>
          <w:szCs w:val="21"/>
        </w:rPr>
        <w:t>份，甲方持有肆份，乙方持贰份，每份均具同等法律效力。</w:t>
      </w:r>
    </w:p>
    <w:p>
      <w:pPr>
        <w:spacing w:line="480" w:lineRule="exact"/>
        <w:ind w:firstLine="420" w:firstLineChars="200"/>
        <w:rPr>
          <w:rFonts w:ascii="宋体" w:hAnsi="宋体"/>
          <w:color w:val="auto"/>
          <w:szCs w:val="21"/>
        </w:rPr>
      </w:pPr>
      <w:r>
        <w:rPr>
          <w:rFonts w:hint="eastAsia" w:ascii="宋体" w:hAnsi="宋体"/>
          <w:color w:val="auto"/>
          <w:szCs w:val="21"/>
        </w:rPr>
        <w:t>4、本合同附件是本合同的组成部分，与本合同具有同等法律效力。</w:t>
      </w:r>
    </w:p>
    <w:p>
      <w:pPr>
        <w:snapToGrid w:val="0"/>
        <w:spacing w:line="480" w:lineRule="exact"/>
        <w:ind w:firstLine="420" w:firstLineChars="200"/>
        <w:rPr>
          <w:rFonts w:ascii="宋体" w:hAnsi="宋体"/>
          <w:color w:val="auto"/>
          <w:szCs w:val="21"/>
        </w:rPr>
      </w:pPr>
      <w:r>
        <w:rPr>
          <w:rFonts w:hint="eastAsia" w:ascii="宋体" w:hAnsi="宋体"/>
          <w:color w:val="auto"/>
          <w:szCs w:val="21"/>
        </w:rPr>
        <w:t>5、本合同约定工程项目所涉及的所有设计图纸、施工图纸等技术文件资料等的著作权归属甲方。</w:t>
      </w:r>
    </w:p>
    <w:p>
      <w:pPr>
        <w:snapToGrid w:val="0"/>
        <w:spacing w:line="480" w:lineRule="exact"/>
        <w:ind w:firstLine="420" w:firstLineChars="200"/>
        <w:rPr>
          <w:rFonts w:hint="eastAsia" w:ascii="宋体" w:hAnsi="宋体"/>
          <w:color w:val="auto"/>
          <w:szCs w:val="21"/>
        </w:rPr>
      </w:pPr>
      <w:r>
        <w:rPr>
          <w:rFonts w:hint="eastAsia" w:ascii="宋体" w:hAnsi="宋体"/>
          <w:color w:val="auto"/>
          <w:szCs w:val="21"/>
        </w:rPr>
        <w:t>6、履约评价核心条款</w:t>
      </w:r>
    </w:p>
    <w:p>
      <w:pPr>
        <w:snapToGrid w:val="0"/>
        <w:spacing w:line="480" w:lineRule="exact"/>
        <w:ind w:firstLine="420" w:firstLineChars="200"/>
        <w:rPr>
          <w:rFonts w:hint="eastAsia" w:ascii="宋体" w:hAnsi="宋体"/>
          <w:color w:val="auto"/>
          <w:szCs w:val="21"/>
        </w:rPr>
      </w:pPr>
      <w:r>
        <w:rPr>
          <w:rFonts w:hint="eastAsia" w:ascii="宋体" w:hAnsi="宋体"/>
          <w:color w:val="auto"/>
          <w:szCs w:val="21"/>
        </w:rPr>
        <w:t>（1）考评细则：</w:t>
      </w:r>
    </w:p>
    <w:p>
      <w:pPr>
        <w:snapToGrid w:val="0"/>
        <w:spacing w:line="480" w:lineRule="exact"/>
        <w:ind w:firstLine="420" w:firstLineChars="200"/>
        <w:rPr>
          <w:rFonts w:hint="eastAsia" w:ascii="宋体" w:hAnsi="宋体"/>
          <w:color w:val="auto"/>
          <w:szCs w:val="21"/>
        </w:rPr>
      </w:pPr>
      <w:r>
        <w:rPr>
          <w:rFonts w:hint="eastAsia" w:ascii="宋体" w:hAnsi="宋体"/>
          <w:color w:val="auto"/>
          <w:szCs w:val="21"/>
        </w:rPr>
        <w:t>①施工质量标准分：30分，工程进度管控标准分：30分，安全和文明施工管理情况标准分：</w:t>
      </w:r>
      <w:r>
        <w:rPr>
          <w:rFonts w:hint="eastAsia" w:ascii="宋体" w:hAnsi="宋体"/>
          <w:color w:val="auto"/>
          <w:szCs w:val="21"/>
          <w:lang w:val="en-US" w:eastAsia="zh-CN"/>
        </w:rPr>
        <w:t>1</w:t>
      </w:r>
      <w:r>
        <w:rPr>
          <w:rFonts w:hint="eastAsia" w:ascii="宋体" w:hAnsi="宋体"/>
          <w:color w:val="auto"/>
          <w:szCs w:val="21"/>
        </w:rPr>
        <w:t>0分，成本工作配合情况标准分：</w:t>
      </w:r>
      <w:r>
        <w:rPr>
          <w:rFonts w:hint="eastAsia" w:ascii="宋体" w:hAnsi="宋体"/>
          <w:color w:val="auto"/>
          <w:szCs w:val="21"/>
          <w:lang w:val="en-US" w:eastAsia="zh-CN"/>
        </w:rPr>
        <w:t>2</w:t>
      </w:r>
      <w:r>
        <w:rPr>
          <w:rFonts w:hint="eastAsia" w:ascii="宋体" w:hAnsi="宋体"/>
          <w:color w:val="auto"/>
          <w:szCs w:val="21"/>
        </w:rPr>
        <w:t>0分，工人工资发放情况标准分：</w:t>
      </w:r>
      <w:r>
        <w:rPr>
          <w:rFonts w:hint="eastAsia" w:ascii="宋体" w:hAnsi="宋体"/>
          <w:color w:val="auto"/>
          <w:szCs w:val="21"/>
          <w:lang w:val="en-US" w:eastAsia="zh-CN"/>
        </w:rPr>
        <w:t>1</w:t>
      </w:r>
      <w:r>
        <w:rPr>
          <w:rFonts w:hint="eastAsia" w:ascii="宋体" w:hAnsi="宋体"/>
          <w:color w:val="auto"/>
          <w:szCs w:val="21"/>
        </w:rPr>
        <w:t>0分。</w:t>
      </w:r>
    </w:p>
    <w:p>
      <w:pPr>
        <w:snapToGrid w:val="0"/>
        <w:spacing w:line="480" w:lineRule="exact"/>
        <w:ind w:firstLine="420" w:firstLineChars="200"/>
        <w:rPr>
          <w:rFonts w:hint="eastAsia" w:ascii="宋体" w:hAnsi="宋体"/>
          <w:color w:val="auto"/>
          <w:szCs w:val="21"/>
        </w:rPr>
      </w:pPr>
      <w:r>
        <w:rPr>
          <w:rFonts w:hint="eastAsia" w:ascii="宋体" w:hAnsi="宋体"/>
          <w:color w:val="auto"/>
          <w:szCs w:val="21"/>
        </w:rPr>
        <w:t>②得分90-100分=优，得分80-89分=良，得分60-79分=合格，得分60分以下=不合格。90分以上（含90分）归档为甲方A类供应商，80-90分（含80分）的归档为甲方B类供应商，60-80分（含60分）的归档为甲方C类供应商。</w:t>
      </w:r>
    </w:p>
    <w:p>
      <w:pPr>
        <w:snapToGrid w:val="0"/>
        <w:spacing w:line="480" w:lineRule="exact"/>
        <w:ind w:firstLine="420" w:firstLineChars="200"/>
        <w:rPr>
          <w:rFonts w:hint="eastAsia" w:ascii="宋体" w:hAnsi="宋体"/>
          <w:color w:val="auto"/>
          <w:szCs w:val="21"/>
        </w:rPr>
      </w:pPr>
      <w:r>
        <w:rPr>
          <w:rFonts w:hint="eastAsia" w:ascii="宋体" w:hAnsi="宋体"/>
          <w:color w:val="auto"/>
          <w:szCs w:val="21"/>
        </w:rPr>
        <w:t>（2）适用范围：</w:t>
      </w:r>
    </w:p>
    <w:p>
      <w:pPr>
        <w:snapToGrid w:val="0"/>
        <w:spacing w:line="480" w:lineRule="exact"/>
        <w:ind w:firstLine="420" w:firstLineChars="200"/>
        <w:rPr>
          <w:rFonts w:hint="eastAsia" w:ascii="宋体" w:hAnsi="宋体"/>
          <w:color w:val="auto"/>
          <w:szCs w:val="21"/>
        </w:rPr>
      </w:pPr>
      <w:r>
        <w:rPr>
          <w:rFonts w:hint="eastAsia" w:ascii="宋体" w:hAnsi="宋体"/>
          <w:color w:val="auto"/>
          <w:szCs w:val="21"/>
        </w:rPr>
        <w:t>①甲方对得分低于60分的供应商，从合格供应商名册中剔除，且今后不再录入供应商库。②甲方对评为A类供应商给予奖励，以直接委派的形式奖励400万元以内的项目。</w:t>
      </w:r>
    </w:p>
    <w:p>
      <w:pPr>
        <w:snapToGrid w:val="0"/>
        <w:spacing w:line="480" w:lineRule="exact"/>
        <w:ind w:firstLine="420" w:firstLineChars="200"/>
        <w:rPr>
          <w:rFonts w:ascii="宋体" w:hAnsi="宋体"/>
          <w:color w:val="auto"/>
          <w:szCs w:val="21"/>
        </w:rPr>
      </w:pPr>
      <w:r>
        <w:rPr>
          <w:rFonts w:hint="eastAsia" w:ascii="宋体" w:hAnsi="宋体"/>
          <w:color w:val="auto"/>
          <w:szCs w:val="21"/>
        </w:rPr>
        <w:t>7、本合同自双方签字、盖章后生效。</w:t>
      </w:r>
    </w:p>
    <w:p>
      <w:pPr>
        <w:snapToGrid w:val="0"/>
        <w:spacing w:line="480" w:lineRule="exact"/>
        <w:ind w:firstLine="420" w:firstLineChars="200"/>
        <w:rPr>
          <w:rFonts w:ascii="宋体" w:hAnsi="宋体"/>
          <w:color w:val="auto"/>
          <w:szCs w:val="21"/>
          <w:u w:val="single"/>
        </w:rPr>
      </w:pPr>
      <w:r>
        <w:rPr>
          <w:rFonts w:hint="eastAsia" w:ascii="宋体" w:hAnsi="宋体"/>
          <w:color w:val="auto"/>
          <w:szCs w:val="21"/>
        </w:rPr>
        <w:t>8、其它约定：</w:t>
      </w:r>
      <w:r>
        <w:rPr>
          <w:rFonts w:hint="eastAsia" w:ascii="宋体" w:hAnsi="宋体"/>
          <w:color w:val="auto"/>
          <w:szCs w:val="21"/>
          <w:u w:val="single"/>
        </w:rPr>
        <w:t xml:space="preserve">                        /                                 </w:t>
      </w:r>
    </w:p>
    <w:p>
      <w:pPr>
        <w:spacing w:line="480" w:lineRule="exact"/>
        <w:rPr>
          <w:rFonts w:hint="eastAsia" w:ascii="宋体" w:hAnsi="宋体"/>
          <w:color w:val="auto"/>
          <w:szCs w:val="21"/>
        </w:rPr>
      </w:pPr>
    </w:p>
    <w:p>
      <w:pPr>
        <w:spacing w:line="480" w:lineRule="exact"/>
        <w:rPr>
          <w:rFonts w:hint="eastAsia" w:ascii="宋体" w:hAnsi="宋体"/>
          <w:color w:val="auto"/>
          <w:szCs w:val="21"/>
        </w:rPr>
      </w:pPr>
    </w:p>
    <w:p>
      <w:pPr>
        <w:spacing w:line="480" w:lineRule="exact"/>
        <w:rPr>
          <w:rFonts w:hint="eastAsia" w:ascii="宋体" w:hAnsi="宋体"/>
          <w:color w:val="auto"/>
          <w:szCs w:val="21"/>
        </w:rPr>
      </w:pPr>
    </w:p>
    <w:p>
      <w:pPr>
        <w:spacing w:line="480" w:lineRule="exact"/>
        <w:rPr>
          <w:rFonts w:hint="eastAsia" w:ascii="宋体" w:hAnsi="宋体"/>
          <w:color w:val="auto"/>
          <w:szCs w:val="21"/>
        </w:rPr>
      </w:pPr>
    </w:p>
    <w:p>
      <w:pPr>
        <w:spacing w:line="480" w:lineRule="exact"/>
        <w:rPr>
          <w:rFonts w:hint="eastAsia" w:ascii="宋体" w:hAnsi="宋体"/>
          <w:color w:val="auto"/>
          <w:szCs w:val="21"/>
        </w:rPr>
      </w:pPr>
    </w:p>
    <w:p>
      <w:pPr>
        <w:spacing w:line="480" w:lineRule="exact"/>
        <w:rPr>
          <w:rFonts w:hint="eastAsia" w:ascii="宋体" w:hAnsi="宋体"/>
          <w:color w:val="auto"/>
          <w:szCs w:val="21"/>
        </w:rPr>
      </w:pPr>
    </w:p>
    <w:p>
      <w:pPr>
        <w:spacing w:line="480" w:lineRule="exact"/>
        <w:rPr>
          <w:rFonts w:hint="eastAsia" w:ascii="宋体" w:hAnsi="宋体"/>
          <w:color w:val="auto"/>
          <w:szCs w:val="21"/>
        </w:rPr>
      </w:pPr>
    </w:p>
    <w:p>
      <w:pPr>
        <w:spacing w:line="480" w:lineRule="exact"/>
        <w:rPr>
          <w:rFonts w:hint="eastAsia" w:ascii="宋体" w:hAnsi="宋体"/>
          <w:color w:val="auto"/>
          <w:szCs w:val="21"/>
        </w:rPr>
      </w:pPr>
    </w:p>
    <w:p>
      <w:pPr>
        <w:spacing w:line="480" w:lineRule="exact"/>
        <w:rPr>
          <w:rFonts w:hint="eastAsia" w:ascii="宋体" w:hAnsi="宋体"/>
          <w:color w:val="auto"/>
          <w:szCs w:val="21"/>
        </w:rPr>
      </w:pPr>
    </w:p>
    <w:p>
      <w:pPr>
        <w:spacing w:line="480" w:lineRule="exact"/>
        <w:rPr>
          <w:rFonts w:hint="eastAsia" w:ascii="宋体" w:hAnsi="宋体"/>
          <w:color w:val="auto"/>
          <w:szCs w:val="21"/>
        </w:rPr>
      </w:pPr>
    </w:p>
    <w:p>
      <w:pPr>
        <w:snapToGrid w:val="0"/>
        <w:spacing w:line="480" w:lineRule="exact"/>
        <w:ind w:firstLine="420" w:firstLineChars="200"/>
        <w:rPr>
          <w:rFonts w:hint="eastAsia" w:ascii="宋体" w:hAnsi="宋体" w:eastAsia="宋体" w:cs="Times New Roman"/>
          <w:color w:val="auto"/>
          <w:szCs w:val="21"/>
        </w:rPr>
      </w:pPr>
      <w:r>
        <w:rPr>
          <w:rFonts w:hint="eastAsia" w:ascii="宋体" w:hAnsi="宋体" w:eastAsia="宋体" w:cs="Times New Roman"/>
          <w:color w:val="auto"/>
          <w:szCs w:val="21"/>
        </w:rPr>
        <w:br w:type="page"/>
      </w:r>
      <w:r>
        <w:rPr>
          <w:rFonts w:hint="eastAsia" w:ascii="宋体" w:hAnsi="宋体" w:eastAsia="宋体" w:cs="Times New Roman"/>
          <w:color w:val="auto"/>
          <w:szCs w:val="21"/>
        </w:rPr>
        <w:t>附件（共7件）</w:t>
      </w:r>
    </w:p>
    <w:p>
      <w:pPr>
        <w:numPr>
          <w:ilvl w:val="0"/>
          <w:numId w:val="3"/>
        </w:numPr>
        <w:spacing w:line="480" w:lineRule="exact"/>
        <w:rPr>
          <w:rFonts w:ascii="宋体" w:hAnsi="宋体"/>
          <w:color w:val="auto"/>
          <w:szCs w:val="21"/>
        </w:rPr>
      </w:pPr>
      <w:r>
        <w:rPr>
          <w:rFonts w:hint="eastAsia" w:ascii="宋体" w:hAnsi="宋体"/>
          <w:color w:val="auto"/>
          <w:szCs w:val="21"/>
        </w:rPr>
        <w:t>附件一：阳光合作协议</w:t>
      </w:r>
    </w:p>
    <w:p>
      <w:pPr>
        <w:numPr>
          <w:ilvl w:val="0"/>
          <w:numId w:val="3"/>
        </w:numPr>
        <w:spacing w:line="480" w:lineRule="exact"/>
        <w:rPr>
          <w:rFonts w:ascii="宋体" w:hAnsi="宋体"/>
          <w:color w:val="auto"/>
          <w:szCs w:val="21"/>
        </w:rPr>
      </w:pPr>
      <w:r>
        <w:rPr>
          <w:rFonts w:hint="eastAsia" w:ascii="宋体" w:hAnsi="宋体"/>
          <w:color w:val="auto"/>
          <w:szCs w:val="21"/>
        </w:rPr>
        <w:t>附件二：工程质量保修书</w:t>
      </w:r>
    </w:p>
    <w:p>
      <w:pPr>
        <w:numPr>
          <w:ilvl w:val="0"/>
          <w:numId w:val="3"/>
        </w:numPr>
        <w:spacing w:line="480" w:lineRule="exact"/>
        <w:rPr>
          <w:rFonts w:hint="eastAsia" w:ascii="宋体" w:hAnsi="宋体"/>
          <w:color w:val="auto"/>
          <w:szCs w:val="21"/>
        </w:rPr>
      </w:pPr>
      <w:r>
        <w:rPr>
          <w:rFonts w:hint="eastAsia" w:ascii="宋体" w:hAnsi="宋体"/>
          <w:color w:val="auto"/>
          <w:szCs w:val="21"/>
        </w:rPr>
        <w:t>附件三：管理细则</w:t>
      </w:r>
    </w:p>
    <w:p>
      <w:pPr>
        <w:numPr>
          <w:ilvl w:val="0"/>
          <w:numId w:val="3"/>
        </w:numPr>
        <w:spacing w:line="480" w:lineRule="exact"/>
        <w:rPr>
          <w:rFonts w:hint="eastAsia" w:ascii="宋体" w:hAnsi="宋体"/>
          <w:color w:val="auto"/>
          <w:szCs w:val="21"/>
        </w:rPr>
      </w:pPr>
      <w:r>
        <w:rPr>
          <w:rFonts w:hint="eastAsia" w:ascii="宋体" w:hAnsi="宋体"/>
          <w:color w:val="auto"/>
          <w:szCs w:val="21"/>
        </w:rPr>
        <w:t>附件四：分包单位安全生产责任协议</w:t>
      </w:r>
    </w:p>
    <w:p>
      <w:pPr>
        <w:numPr>
          <w:ilvl w:val="0"/>
          <w:numId w:val="3"/>
        </w:numPr>
        <w:spacing w:line="480" w:lineRule="exact"/>
        <w:rPr>
          <w:rFonts w:hint="eastAsia" w:ascii="宋体" w:hAnsi="宋体"/>
          <w:color w:val="auto"/>
          <w:szCs w:val="21"/>
        </w:rPr>
      </w:pPr>
      <w:r>
        <w:rPr>
          <w:rFonts w:hint="eastAsia" w:ascii="宋体" w:hAnsi="宋体"/>
          <w:color w:val="auto"/>
          <w:szCs w:val="21"/>
        </w:rPr>
        <w:t>附件五：绿色施工安全防护措施费工作内容</w:t>
      </w:r>
    </w:p>
    <w:p>
      <w:pPr>
        <w:numPr>
          <w:ilvl w:val="0"/>
          <w:numId w:val="3"/>
        </w:numPr>
        <w:spacing w:line="480" w:lineRule="exact"/>
        <w:rPr>
          <w:rFonts w:hint="eastAsia" w:ascii="宋体" w:hAnsi="宋体"/>
          <w:color w:val="auto"/>
          <w:szCs w:val="21"/>
        </w:rPr>
      </w:pPr>
      <w:r>
        <w:rPr>
          <w:rFonts w:hint="eastAsia" w:ascii="宋体" w:hAnsi="宋体"/>
          <w:color w:val="auto"/>
          <w:szCs w:val="21"/>
        </w:rPr>
        <w:t>附件六：乙方主要施工管理人员表</w:t>
      </w:r>
    </w:p>
    <w:p>
      <w:pPr>
        <w:numPr>
          <w:ilvl w:val="0"/>
          <w:numId w:val="3"/>
        </w:numPr>
        <w:spacing w:line="480" w:lineRule="exact"/>
        <w:rPr>
          <w:rFonts w:hint="eastAsia" w:ascii="宋体" w:hAnsi="宋体"/>
          <w:color w:val="auto"/>
          <w:szCs w:val="21"/>
        </w:rPr>
      </w:pPr>
      <w:r>
        <w:rPr>
          <w:rFonts w:hint="eastAsia" w:ascii="宋体" w:hAnsi="宋体"/>
          <w:color w:val="auto"/>
          <w:szCs w:val="21"/>
        </w:rPr>
        <w:t>附件七： 工程量清单报价表</w:t>
      </w:r>
    </w:p>
    <w:p>
      <w:pPr>
        <w:spacing w:line="480" w:lineRule="exact"/>
        <w:rPr>
          <w:rFonts w:hint="eastAsia" w:ascii="宋体" w:hAnsi="宋体"/>
          <w:color w:val="auto"/>
          <w:szCs w:val="21"/>
        </w:rPr>
      </w:pPr>
    </w:p>
    <w:p>
      <w:pPr>
        <w:spacing w:line="480" w:lineRule="exact"/>
        <w:rPr>
          <w:rFonts w:hint="eastAsia" w:ascii="宋体" w:hAnsi="宋体"/>
          <w:color w:val="auto"/>
          <w:szCs w:val="21"/>
        </w:rPr>
      </w:pPr>
    </w:p>
    <w:p>
      <w:pPr>
        <w:spacing w:line="480" w:lineRule="exact"/>
        <w:rPr>
          <w:rFonts w:hint="eastAsia" w:ascii="宋体" w:hAnsi="宋体"/>
          <w:color w:val="auto"/>
          <w:szCs w:val="21"/>
        </w:rPr>
      </w:pPr>
    </w:p>
    <w:p>
      <w:pPr>
        <w:snapToGrid w:val="0"/>
        <w:spacing w:line="480" w:lineRule="exact"/>
        <w:ind w:firstLine="420" w:firstLineChars="200"/>
        <w:rPr>
          <w:rFonts w:hint="eastAsia" w:ascii="宋体" w:hAnsi="宋体"/>
          <w:color w:val="auto"/>
          <w:szCs w:val="21"/>
        </w:rPr>
      </w:pPr>
      <w:r>
        <w:rPr>
          <w:rFonts w:hint="eastAsia" w:ascii="宋体" w:hAnsi="宋体"/>
          <w:color w:val="auto"/>
          <w:szCs w:val="21"/>
        </w:rPr>
        <w:t>（以下无正文，为双方签字栏）</w:t>
      </w:r>
    </w:p>
    <w:p>
      <w:pPr>
        <w:spacing w:line="480" w:lineRule="exact"/>
        <w:rPr>
          <w:rFonts w:hint="eastAsia" w:ascii="宋体" w:hAnsi="宋体"/>
          <w:color w:val="auto"/>
          <w:szCs w:val="21"/>
        </w:rPr>
      </w:pPr>
    </w:p>
    <w:p>
      <w:pPr>
        <w:spacing w:line="480" w:lineRule="exact"/>
        <w:rPr>
          <w:rFonts w:ascii="宋体" w:hAnsi="宋体"/>
          <w:color w:val="auto"/>
          <w:szCs w:val="21"/>
        </w:rPr>
      </w:pPr>
    </w:p>
    <w:p>
      <w:pPr>
        <w:spacing w:line="480" w:lineRule="exact"/>
        <w:rPr>
          <w:rFonts w:ascii="宋体" w:hAnsi="宋体"/>
          <w:color w:val="auto"/>
          <w:szCs w:val="21"/>
        </w:rPr>
      </w:pPr>
    </w:p>
    <w:p>
      <w:pPr>
        <w:spacing w:line="480" w:lineRule="exact"/>
        <w:ind w:left="961"/>
        <w:rPr>
          <w:rFonts w:ascii="宋体" w:hAnsi="宋体"/>
          <w:color w:val="auto"/>
          <w:szCs w:val="21"/>
        </w:rPr>
      </w:pPr>
      <w:r>
        <w:rPr>
          <w:rFonts w:hint="eastAsia" w:ascii="宋体" w:hAnsi="宋体"/>
          <w:color w:val="auto"/>
          <w:szCs w:val="21"/>
        </w:rPr>
        <w:t xml:space="preserve">甲方：                                 乙方：                              </w:t>
      </w:r>
    </w:p>
    <w:p>
      <w:pPr>
        <w:spacing w:line="480" w:lineRule="exact"/>
        <w:ind w:left="601" w:firstLine="315" w:firstLineChars="150"/>
        <w:rPr>
          <w:rFonts w:ascii="宋体" w:hAnsi="宋体"/>
          <w:color w:val="auto"/>
          <w:szCs w:val="21"/>
        </w:rPr>
      </w:pPr>
      <w:r>
        <w:rPr>
          <w:rFonts w:hint="eastAsia"/>
          <w:color w:val="auto"/>
          <w:szCs w:val="21"/>
        </w:rPr>
        <w:t>通讯地址</w:t>
      </w:r>
      <w:r>
        <w:rPr>
          <w:rFonts w:hint="eastAsia" w:ascii="宋体" w:hAnsi="宋体"/>
          <w:color w:val="auto"/>
          <w:szCs w:val="21"/>
        </w:rPr>
        <w:t xml:space="preserve">：                              </w:t>
      </w:r>
      <w:r>
        <w:rPr>
          <w:rFonts w:hint="eastAsia"/>
          <w:color w:val="auto"/>
          <w:szCs w:val="21"/>
        </w:rPr>
        <w:t>通讯</w:t>
      </w:r>
      <w:r>
        <w:rPr>
          <w:rFonts w:hint="eastAsia" w:ascii="宋体" w:hAnsi="宋体"/>
          <w:color w:val="auto"/>
          <w:szCs w:val="21"/>
        </w:rPr>
        <w:t>地址：</w:t>
      </w:r>
    </w:p>
    <w:p>
      <w:pPr>
        <w:spacing w:line="480" w:lineRule="exact"/>
        <w:ind w:left="961"/>
        <w:rPr>
          <w:rFonts w:ascii="宋体" w:hAnsi="宋体"/>
          <w:color w:val="auto"/>
          <w:szCs w:val="21"/>
        </w:rPr>
      </w:pPr>
    </w:p>
    <w:p>
      <w:pPr>
        <w:spacing w:line="480" w:lineRule="exact"/>
        <w:ind w:left="961"/>
        <w:rPr>
          <w:rFonts w:ascii="宋体" w:hAnsi="宋体"/>
          <w:color w:val="auto"/>
          <w:szCs w:val="21"/>
        </w:rPr>
      </w:pPr>
      <w:r>
        <w:rPr>
          <w:rFonts w:hint="eastAsia" w:ascii="宋体" w:hAnsi="宋体"/>
          <w:color w:val="auto"/>
          <w:szCs w:val="21"/>
        </w:rPr>
        <w:t>法定代表人                             法定代表人</w:t>
      </w:r>
    </w:p>
    <w:p>
      <w:pPr>
        <w:spacing w:line="480" w:lineRule="exact"/>
        <w:ind w:left="961"/>
        <w:rPr>
          <w:rFonts w:ascii="宋体" w:hAnsi="宋体"/>
          <w:color w:val="auto"/>
          <w:szCs w:val="21"/>
        </w:rPr>
      </w:pPr>
      <w:r>
        <w:rPr>
          <w:rFonts w:hint="eastAsia" w:ascii="宋体" w:hAnsi="宋体"/>
          <w:color w:val="auto"/>
          <w:szCs w:val="21"/>
        </w:rPr>
        <w:t>（或授权签约人）：                      （或授权签约人）：</w:t>
      </w:r>
    </w:p>
    <w:p>
      <w:pPr>
        <w:spacing w:line="480" w:lineRule="exact"/>
        <w:ind w:left="961"/>
        <w:rPr>
          <w:rFonts w:ascii="宋体" w:hAnsi="宋体"/>
          <w:color w:val="auto"/>
          <w:szCs w:val="21"/>
        </w:rPr>
      </w:pPr>
      <w:r>
        <w:rPr>
          <w:rFonts w:hint="eastAsia" w:ascii="宋体" w:hAnsi="宋体"/>
          <w:color w:val="auto"/>
          <w:szCs w:val="21"/>
        </w:rPr>
        <w:t>投诉监督电话：                          投诉监督电话：</w:t>
      </w:r>
    </w:p>
    <w:p>
      <w:pPr>
        <w:spacing w:line="360" w:lineRule="auto"/>
        <w:jc w:val="left"/>
        <w:rPr>
          <w:rFonts w:ascii="宋体" w:hAnsi="宋体" w:cs="宋体"/>
          <w:bCs/>
          <w:color w:val="auto"/>
          <w:sz w:val="32"/>
          <w:szCs w:val="32"/>
        </w:rPr>
      </w:pPr>
      <w:r>
        <w:rPr>
          <w:rFonts w:ascii="宋体" w:hAnsi="宋体"/>
          <w:color w:val="auto"/>
          <w:spacing w:val="8"/>
          <w:sz w:val="24"/>
        </w:rPr>
        <w:br w:type="page"/>
      </w:r>
      <w:r>
        <w:rPr>
          <w:rFonts w:hint="eastAsia" w:ascii="宋体" w:hAnsi="宋体" w:cs="宋体"/>
          <w:bCs/>
          <w:color w:val="auto"/>
          <w:sz w:val="32"/>
          <w:szCs w:val="32"/>
        </w:rPr>
        <w:t>附件一</w:t>
      </w:r>
    </w:p>
    <w:p>
      <w:pPr>
        <w:spacing w:line="360" w:lineRule="auto"/>
        <w:ind w:firstLine="883" w:firstLineChars="200"/>
        <w:jc w:val="center"/>
        <w:rPr>
          <w:rFonts w:ascii="方正小标宋简体" w:hAnsi="黑体" w:eastAsia="方正小标宋简体"/>
          <w:b/>
          <w:color w:val="auto"/>
          <w:sz w:val="44"/>
          <w:szCs w:val="44"/>
        </w:rPr>
      </w:pPr>
      <w:r>
        <w:rPr>
          <w:rFonts w:hint="eastAsia" w:ascii="方正小标宋简体" w:hAnsi="黑体" w:eastAsia="方正小标宋简体"/>
          <w:b/>
          <w:color w:val="auto"/>
          <w:sz w:val="44"/>
          <w:szCs w:val="44"/>
        </w:rPr>
        <w:t>阳光合作协议</w:t>
      </w:r>
    </w:p>
    <w:p>
      <w:pPr>
        <w:spacing w:line="360" w:lineRule="auto"/>
        <w:ind w:firstLine="562" w:firstLineChars="200"/>
        <w:jc w:val="center"/>
        <w:rPr>
          <w:rFonts w:ascii="宋体"/>
          <w:b/>
          <w:color w:val="auto"/>
          <w:sz w:val="28"/>
          <w:szCs w:val="28"/>
        </w:rPr>
      </w:pPr>
    </w:p>
    <w:p>
      <w:pPr>
        <w:spacing w:before="156" w:beforeLines="50" w:after="156" w:afterLines="50" w:line="360" w:lineRule="auto"/>
        <w:ind w:firstLine="420" w:firstLineChars="200"/>
        <w:contextualSpacing/>
        <w:rPr>
          <w:rFonts w:ascii="宋体" w:hAnsi="宋体"/>
          <w:color w:val="auto"/>
          <w:szCs w:val="21"/>
          <w:u w:val="single"/>
        </w:rPr>
      </w:pPr>
      <w:r>
        <w:rPr>
          <w:rFonts w:hint="eastAsia" w:ascii="宋体" w:hAnsi="宋体"/>
          <w:color w:val="auto"/>
          <w:szCs w:val="21"/>
        </w:rPr>
        <w:t>甲方：</w:t>
      </w:r>
      <w:r>
        <w:rPr>
          <w:rFonts w:hint="eastAsia" w:ascii="宋体" w:hAnsi="宋体"/>
          <w:color w:val="auto"/>
          <w:szCs w:val="21"/>
          <w:u w:val="single"/>
        </w:rPr>
        <w:t xml:space="preserve">                                      </w:t>
      </w:r>
    </w:p>
    <w:p>
      <w:pPr>
        <w:spacing w:line="360" w:lineRule="auto"/>
        <w:jc w:val="left"/>
        <w:rPr>
          <w:rFonts w:ascii="宋体" w:hAnsi="Tahoma"/>
          <w:color w:val="auto"/>
          <w:kern w:val="0"/>
          <w:sz w:val="28"/>
        </w:rPr>
      </w:pPr>
    </w:p>
    <w:p>
      <w:pPr>
        <w:spacing w:before="156" w:beforeLines="50" w:after="156" w:afterLines="50" w:line="360" w:lineRule="auto"/>
        <w:ind w:firstLine="420" w:firstLineChars="200"/>
        <w:contextualSpacing/>
        <w:rPr>
          <w:rFonts w:ascii="宋体" w:hAnsi="宋体"/>
          <w:color w:val="auto"/>
          <w:szCs w:val="21"/>
        </w:rPr>
      </w:pPr>
      <w:r>
        <w:rPr>
          <w:rFonts w:hint="eastAsia" w:ascii="宋体" w:hAnsi="宋体"/>
          <w:color w:val="auto"/>
          <w:szCs w:val="21"/>
        </w:rPr>
        <w:t>乙方：</w:t>
      </w:r>
      <w:r>
        <w:rPr>
          <w:rFonts w:hint="eastAsia" w:ascii="宋体" w:hAnsi="宋体"/>
          <w:color w:val="auto"/>
          <w:szCs w:val="21"/>
          <w:u w:val="single"/>
        </w:rPr>
        <w:t xml:space="preserve">                                      </w:t>
      </w:r>
      <w:r>
        <w:rPr>
          <w:rFonts w:ascii="宋体" w:hAnsi="宋体"/>
          <w:color w:val="auto"/>
          <w:szCs w:val="21"/>
        </w:rPr>
        <w:t xml:space="preserve"> </w:t>
      </w:r>
    </w:p>
    <w:p>
      <w:pPr>
        <w:autoSpaceDE w:val="0"/>
        <w:autoSpaceDN w:val="0"/>
        <w:adjustRightInd w:val="0"/>
        <w:jc w:val="left"/>
        <w:rPr>
          <w:rFonts w:ascii="宋体" w:hAnsi="Tahoma"/>
          <w:color w:val="auto"/>
          <w:kern w:val="0"/>
          <w:sz w:val="28"/>
        </w:rPr>
      </w:pPr>
    </w:p>
    <w:p>
      <w:pPr>
        <w:spacing w:before="156" w:beforeLines="50" w:after="156" w:afterLines="50" w:line="360" w:lineRule="auto"/>
        <w:ind w:firstLine="420" w:firstLineChars="200"/>
        <w:contextualSpacing/>
        <w:rPr>
          <w:rFonts w:ascii="宋体"/>
          <w:color w:val="auto"/>
        </w:rPr>
      </w:pPr>
      <w:r>
        <w:rPr>
          <w:rFonts w:hint="eastAsia" w:ascii="宋体" w:hAnsi="宋体"/>
          <w:color w:val="auto"/>
        </w:rPr>
        <w:t>甲乙双方于</w:t>
      </w:r>
      <w:r>
        <w:rPr>
          <w:rFonts w:hint="eastAsia" w:ascii="宋体" w:hAnsi="宋体"/>
          <w:color w:val="auto"/>
          <w:u w:val="single"/>
        </w:rPr>
        <w:t xml:space="preserve">      </w:t>
      </w:r>
      <w:r>
        <w:rPr>
          <w:rFonts w:hint="eastAsia" w:ascii="宋体" w:hAnsi="宋体"/>
          <w:color w:val="auto"/>
        </w:rPr>
        <w:t>年</w:t>
      </w:r>
      <w:r>
        <w:rPr>
          <w:rFonts w:hint="eastAsia" w:ascii="宋体" w:hAnsi="宋体"/>
          <w:color w:val="auto"/>
          <w:u w:val="single"/>
        </w:rPr>
        <w:t xml:space="preserve">      </w:t>
      </w:r>
      <w:r>
        <w:rPr>
          <w:rFonts w:hint="eastAsia" w:ascii="宋体" w:hAnsi="宋体"/>
          <w:color w:val="auto"/>
        </w:rPr>
        <w:t>月</w:t>
      </w:r>
      <w:r>
        <w:rPr>
          <w:rFonts w:hint="eastAsia" w:ascii="宋体" w:hAnsi="宋体"/>
          <w:color w:val="auto"/>
          <w:u w:val="single"/>
        </w:rPr>
        <w:t xml:space="preserve">      </w:t>
      </w:r>
      <w:r>
        <w:rPr>
          <w:rFonts w:hint="eastAsia" w:ascii="宋体" w:hAnsi="宋体"/>
          <w:color w:val="auto"/>
        </w:rPr>
        <w:t>日签署了《……合同》（以下简称原合同），为加强双方阳光合作，保证职员职业安全，甲乙双方经协商签订本协议并作为双方共同遵守的阳光合作行为准则。</w:t>
      </w:r>
    </w:p>
    <w:p>
      <w:pPr>
        <w:widowControl/>
        <w:spacing w:before="156" w:beforeLines="50" w:after="156" w:afterLines="50" w:line="360" w:lineRule="auto"/>
        <w:ind w:left="420" w:leftChars="200"/>
        <w:contextualSpacing/>
        <w:jc w:val="left"/>
        <w:rPr>
          <w:rFonts w:ascii="宋体" w:hAnsi="宋体"/>
          <w:b/>
          <w:color w:val="auto"/>
        </w:rPr>
      </w:pPr>
      <w:r>
        <w:rPr>
          <w:rFonts w:hint="eastAsia" w:ascii="宋体" w:hAnsi="宋体"/>
          <w:b/>
          <w:color w:val="auto"/>
        </w:rPr>
        <w:t>一、甲方责任</w:t>
      </w:r>
    </w:p>
    <w:p>
      <w:pPr>
        <w:spacing w:before="156" w:beforeLines="50" w:after="156" w:afterLines="50" w:line="360" w:lineRule="auto"/>
        <w:ind w:left="105" w:leftChars="50" w:firstLine="420" w:firstLineChars="200"/>
        <w:contextualSpacing/>
        <w:rPr>
          <w:rFonts w:ascii="宋体" w:hAnsi="宋体"/>
          <w:color w:val="auto"/>
        </w:rPr>
      </w:pPr>
      <w:r>
        <w:rPr>
          <w:rFonts w:hint="eastAsia" w:ascii="宋体" w:hAnsi="宋体"/>
          <w:color w:val="auto"/>
        </w:rPr>
        <w:t>1.甲方有责任向乙方介绍本单位有关采购管理通用原则和本协议的规定。</w:t>
      </w:r>
    </w:p>
    <w:p>
      <w:pPr>
        <w:spacing w:before="156" w:beforeLines="50" w:after="156" w:afterLines="50" w:line="360" w:lineRule="auto"/>
        <w:ind w:left="105" w:leftChars="50" w:firstLine="420" w:firstLineChars="200"/>
        <w:contextualSpacing/>
        <w:rPr>
          <w:rFonts w:ascii="宋体" w:hAnsi="宋体"/>
          <w:color w:val="auto"/>
        </w:rPr>
      </w:pPr>
      <w:r>
        <w:rPr>
          <w:rFonts w:hint="eastAsia" w:ascii="宋体" w:hAnsi="宋体"/>
          <w:color w:val="auto"/>
        </w:rPr>
        <w:t>2.甲方有责任对本单位相关人员进行阳光合作教育。</w:t>
      </w:r>
    </w:p>
    <w:p>
      <w:pPr>
        <w:spacing w:before="156" w:beforeLines="50" w:after="156" w:afterLines="50" w:line="360" w:lineRule="auto"/>
        <w:ind w:left="105" w:leftChars="50" w:firstLine="420" w:firstLineChars="200"/>
        <w:contextualSpacing/>
        <w:rPr>
          <w:rFonts w:ascii="宋体" w:hAnsi="宋体"/>
          <w:color w:val="auto"/>
        </w:rPr>
      </w:pPr>
      <w:r>
        <w:rPr>
          <w:rFonts w:hint="eastAsia" w:ascii="宋体" w:hAnsi="宋体"/>
          <w:color w:val="auto"/>
        </w:rPr>
        <w:t xml:space="preserve">3.甲方人员应严格遵守本单位有关阳光合作管理的规定，不得接受乙方任何形式的回扣、实物、现金、有价证券、礼券等有价物品，不得参加乙方提供的旅游或其他可能影响职务行为公正履行的活动。 </w:t>
      </w:r>
    </w:p>
    <w:p>
      <w:pPr>
        <w:spacing w:before="156" w:beforeLines="50" w:after="156" w:afterLines="50" w:line="360" w:lineRule="auto"/>
        <w:ind w:left="105" w:leftChars="50" w:firstLine="420" w:firstLineChars="200"/>
        <w:contextualSpacing/>
        <w:rPr>
          <w:rFonts w:ascii="宋体" w:hAnsi="宋体"/>
          <w:color w:val="auto"/>
        </w:rPr>
      </w:pPr>
      <w:r>
        <w:rPr>
          <w:rFonts w:hint="eastAsia" w:ascii="宋体" w:hAnsi="宋体"/>
          <w:color w:val="auto"/>
        </w:rPr>
        <w:t>4.甲方人员如违反阳光合作管理制度及本协议规定，甲方视情节轻重、影响大小给予行政及经济处罚。</w:t>
      </w:r>
    </w:p>
    <w:p>
      <w:pPr>
        <w:spacing w:before="156" w:beforeLines="50" w:after="156" w:afterLines="50" w:line="360" w:lineRule="auto"/>
        <w:ind w:left="105" w:leftChars="50" w:firstLine="420" w:firstLineChars="200"/>
        <w:contextualSpacing/>
        <w:rPr>
          <w:rFonts w:ascii="宋体" w:hAnsi="宋体"/>
          <w:color w:val="auto"/>
        </w:rPr>
      </w:pPr>
      <w:r>
        <w:rPr>
          <w:rFonts w:hint="eastAsia" w:ascii="宋体" w:hAnsi="宋体"/>
          <w:color w:val="auto"/>
        </w:rPr>
        <w:t>5．对于乙方举报甲方人员违反阳光合作规定的情况，甲方应及时进行调查，根据调查情况进行处理，并将调查结果向乙方反馈。</w:t>
      </w:r>
    </w:p>
    <w:p>
      <w:pPr>
        <w:spacing w:before="156" w:beforeLines="50" w:after="156" w:afterLines="50" w:line="360" w:lineRule="auto"/>
        <w:ind w:left="105" w:leftChars="50" w:firstLine="420" w:firstLineChars="200"/>
        <w:contextualSpacing/>
        <w:rPr>
          <w:rFonts w:ascii="宋体" w:hAnsi="宋体"/>
          <w:color w:val="auto"/>
        </w:rPr>
      </w:pPr>
      <w:r>
        <w:rPr>
          <w:rFonts w:hint="eastAsia" w:ascii="宋体" w:hAnsi="宋体"/>
          <w:color w:val="auto"/>
        </w:rPr>
        <w:t>6.接受举报的一方应为举报方保密，不得对举报方进行报复，对举报属实和严格遵守《阳光合作协议》的合作方，在同等条件下给予后续合作的优先权。</w:t>
      </w:r>
    </w:p>
    <w:p>
      <w:pPr>
        <w:widowControl/>
        <w:spacing w:before="156" w:beforeLines="50" w:after="156" w:afterLines="50" w:line="360" w:lineRule="auto"/>
        <w:ind w:left="420" w:leftChars="200"/>
        <w:contextualSpacing/>
        <w:jc w:val="left"/>
        <w:rPr>
          <w:rFonts w:ascii="宋体" w:hAnsi="宋体"/>
          <w:b/>
          <w:color w:val="auto"/>
        </w:rPr>
      </w:pPr>
      <w:r>
        <w:rPr>
          <w:rFonts w:hint="eastAsia" w:ascii="宋体" w:hAnsi="宋体"/>
          <w:b/>
          <w:color w:val="auto"/>
        </w:rPr>
        <w:t>二、乙方责任</w:t>
      </w:r>
    </w:p>
    <w:p>
      <w:pPr>
        <w:spacing w:before="156" w:beforeLines="50" w:after="156" w:afterLines="50" w:line="360" w:lineRule="auto"/>
        <w:ind w:left="105" w:leftChars="50" w:firstLine="420" w:firstLineChars="200"/>
        <w:contextualSpacing/>
        <w:rPr>
          <w:rFonts w:ascii="宋体" w:hAnsi="宋体"/>
          <w:color w:val="auto"/>
        </w:rPr>
      </w:pPr>
      <w:r>
        <w:rPr>
          <w:rFonts w:hint="eastAsia" w:ascii="宋体" w:hAnsi="宋体"/>
          <w:color w:val="auto"/>
        </w:rPr>
        <w:t>1.乙方应保证乙方人员了解甲方有关采购管理通用原则和及本协议的规定，并遵照执行。</w:t>
      </w:r>
    </w:p>
    <w:p>
      <w:pPr>
        <w:spacing w:before="156" w:beforeLines="50" w:after="156" w:afterLines="50" w:line="360" w:lineRule="auto"/>
        <w:ind w:left="105" w:leftChars="50" w:firstLine="420" w:firstLineChars="200"/>
        <w:contextualSpacing/>
        <w:rPr>
          <w:rFonts w:ascii="宋体" w:hAnsi="宋体"/>
          <w:color w:val="auto"/>
        </w:rPr>
      </w:pPr>
      <w:r>
        <w:rPr>
          <w:rFonts w:hint="eastAsia" w:ascii="宋体" w:hAnsi="宋体"/>
          <w:color w:val="auto"/>
        </w:rPr>
        <w:t>2.乙方不得以任何形式给予甲方人员回扣、赠送实物、现金、有价证券、礼券等有价物品或提供旅游等其他可能影响职务行为公正履行的活动（以下统称“财物”）。</w:t>
      </w:r>
    </w:p>
    <w:p>
      <w:pPr>
        <w:spacing w:before="156" w:beforeLines="50" w:after="156" w:afterLines="50" w:line="360" w:lineRule="auto"/>
        <w:ind w:left="105" w:leftChars="50" w:firstLine="420" w:firstLineChars="200"/>
        <w:contextualSpacing/>
        <w:rPr>
          <w:rFonts w:ascii="宋体" w:hAnsi="宋体"/>
          <w:color w:val="auto"/>
        </w:rPr>
      </w:pPr>
      <w:r>
        <w:rPr>
          <w:rFonts w:hint="eastAsia" w:ascii="宋体" w:hAnsi="宋体"/>
          <w:color w:val="auto"/>
        </w:rPr>
        <w:t>3.乙方有责任接受甲方对乙方在合作期间阳光合作管理执行情况的监督，并对甲方相关调查工作主动配合。</w:t>
      </w:r>
    </w:p>
    <w:p>
      <w:pPr>
        <w:spacing w:before="156" w:beforeLines="50" w:after="156" w:afterLines="50" w:line="360" w:lineRule="auto"/>
        <w:ind w:left="105" w:leftChars="50" w:firstLine="420" w:firstLineChars="200"/>
        <w:contextualSpacing/>
        <w:rPr>
          <w:rFonts w:ascii="宋体" w:hAnsi="宋体"/>
          <w:color w:val="auto"/>
        </w:rPr>
      </w:pPr>
      <w:r>
        <w:rPr>
          <w:rFonts w:hint="eastAsia" w:ascii="宋体" w:hAnsi="宋体"/>
          <w:color w:val="auto"/>
        </w:rPr>
        <w:t>4.乙方有义务就甲方人员任何形式的索取或收受财物行为及时向甲方（直接联系人为东莞实业投资控股集团有限公司</w:t>
      </w:r>
      <w:r>
        <w:rPr>
          <w:rFonts w:hint="eastAsia" w:ascii="宋体" w:hAnsi="宋体"/>
          <w:color w:val="auto"/>
        </w:rPr>
        <w:t>法律合规</w:t>
      </w:r>
      <w:r>
        <w:rPr>
          <w:rFonts w:hint="eastAsia" w:ascii="宋体" w:hAnsi="宋体"/>
          <w:color w:val="auto"/>
        </w:rPr>
        <w:t>部）举报。如乙方或其人员向甲方人员给予财物，或甲方人员向乙方索取财物，乙方满足其要求并且未向甲方举报的，一经查实（包括但不限于被甲方核实属实，或者被司法机关或第三方核实属实的），甲方将在内部通报；乙方除应向甲方赔偿由此给甲方造成的损失外，乙方还应向甲方支付相当于原合同总价的10%的违约金，并对乙方知情不报人员进行相应处罚；连续出现2次及以上类似情况或者如因乙方在合作期间贿赂甲方人员，被司法机关立案查处核实属实的，甲方有权解除原合同，如甲方解除原合同的，则乙方应退还甲方所支付的所有款项并按原合同与本合同约定承担违约责任，且五年之内不得作为东实集团（东莞实业投资控股集团有限公司及下属子公司）合格供应商。</w:t>
      </w:r>
    </w:p>
    <w:p>
      <w:pPr>
        <w:spacing w:before="156" w:beforeLines="50" w:after="156" w:afterLines="50" w:line="360" w:lineRule="auto"/>
        <w:ind w:left="105" w:leftChars="50" w:firstLine="420" w:firstLineChars="200"/>
        <w:contextualSpacing/>
        <w:rPr>
          <w:rFonts w:ascii="宋体" w:hAnsi="宋体"/>
          <w:color w:val="auto"/>
        </w:rPr>
      </w:pPr>
      <w:r>
        <w:rPr>
          <w:rFonts w:hint="eastAsia" w:ascii="宋体" w:hAnsi="宋体"/>
          <w:color w:val="auto"/>
        </w:rPr>
        <w:t xml:space="preserve">5．甲方接受乙方实名或匿名举报，保证为举报者的信息保密，常设举报部门及电话： </w:t>
      </w:r>
    </w:p>
    <w:p>
      <w:pPr>
        <w:spacing w:before="156" w:beforeLines="50" w:after="156" w:afterLines="50" w:line="360" w:lineRule="auto"/>
        <w:ind w:left="105" w:leftChars="50" w:firstLine="420" w:firstLineChars="200"/>
        <w:contextualSpacing/>
        <w:rPr>
          <w:rFonts w:ascii="宋体" w:hAnsi="宋体"/>
          <w:color w:val="auto"/>
        </w:rPr>
      </w:pPr>
      <w:r>
        <w:rPr>
          <w:rFonts w:hint="eastAsia" w:ascii="宋体" w:hAnsi="宋体"/>
          <w:color w:val="auto"/>
        </w:rPr>
        <w:t>举报受理部门：东莞实业投资控股集团有限公司</w:t>
      </w:r>
      <w:r>
        <w:rPr>
          <w:rFonts w:hint="eastAsia" w:ascii="宋体" w:hAnsi="宋体"/>
          <w:color w:val="auto"/>
        </w:rPr>
        <w:t>法律合规</w:t>
      </w:r>
      <w:r>
        <w:rPr>
          <w:rFonts w:hint="eastAsia" w:ascii="宋体" w:hAnsi="宋体"/>
          <w:color w:val="auto"/>
        </w:rPr>
        <w:t>部</w:t>
      </w:r>
    </w:p>
    <w:p>
      <w:pPr>
        <w:spacing w:before="156" w:beforeLines="50" w:after="156" w:afterLines="50" w:line="360" w:lineRule="auto"/>
        <w:ind w:left="105" w:leftChars="50" w:firstLine="420" w:firstLineChars="200"/>
        <w:contextualSpacing/>
        <w:rPr>
          <w:rFonts w:ascii="宋体" w:hAnsi="宋体"/>
          <w:color w:val="auto"/>
        </w:rPr>
      </w:pPr>
      <w:r>
        <w:rPr>
          <w:rFonts w:hint="eastAsia" w:ascii="宋体" w:hAnsi="宋体"/>
          <w:color w:val="auto"/>
        </w:rPr>
        <w:t>东实集团举报邮箱：</w:t>
      </w:r>
      <w:r>
        <w:rPr>
          <w:rFonts w:hint="eastAsia" w:ascii="宋体" w:hAnsi="宋体"/>
          <w:color w:val="auto"/>
        </w:rPr>
        <w:t>dgsyxf@163.com</w:t>
      </w:r>
    </w:p>
    <w:p>
      <w:pPr>
        <w:spacing w:before="156" w:beforeLines="50" w:after="156" w:afterLines="50" w:line="360" w:lineRule="auto"/>
        <w:ind w:left="105" w:leftChars="50" w:firstLine="420" w:firstLineChars="200"/>
        <w:contextualSpacing/>
        <w:rPr>
          <w:rFonts w:ascii="宋体" w:hAnsi="宋体"/>
          <w:color w:val="auto"/>
        </w:rPr>
      </w:pPr>
      <w:r>
        <w:rPr>
          <w:rFonts w:hint="eastAsia" w:ascii="宋体" w:hAnsi="宋体"/>
          <w:color w:val="auto"/>
        </w:rPr>
        <w:t>东实集团举报电话：0769-</w:t>
      </w:r>
      <w:r>
        <w:rPr>
          <w:rFonts w:hint="eastAsia" w:ascii="宋体" w:hAnsi="宋体"/>
          <w:color w:val="auto"/>
        </w:rPr>
        <w:t>28820703</w:t>
      </w:r>
      <w:r>
        <w:rPr>
          <w:rFonts w:hint="eastAsia" w:ascii="宋体" w:hAnsi="宋体"/>
          <w:color w:val="auto"/>
        </w:rPr>
        <w:t>（周一至周五9:00-12:00和14:00-18:00）</w:t>
      </w:r>
    </w:p>
    <w:p>
      <w:pPr>
        <w:spacing w:before="156" w:beforeLines="50" w:after="156" w:afterLines="50" w:line="360" w:lineRule="auto"/>
        <w:ind w:left="105" w:leftChars="50" w:firstLine="420" w:firstLineChars="200"/>
        <w:contextualSpacing/>
        <w:rPr>
          <w:rFonts w:ascii="宋体" w:hAnsi="宋体"/>
          <w:color w:val="auto"/>
        </w:rPr>
      </w:pPr>
      <w:r>
        <w:rPr>
          <w:rFonts w:hint="eastAsia" w:ascii="宋体" w:hAnsi="宋体"/>
          <w:color w:val="auto"/>
        </w:rPr>
        <w:t>邮寄地址：东莞市东城区八一路1号机关二号大院9号楼，东莞实业投资控股集团有限公司</w:t>
      </w:r>
      <w:r>
        <w:rPr>
          <w:rFonts w:hint="eastAsia" w:ascii="宋体" w:hAnsi="宋体"/>
          <w:color w:val="auto"/>
        </w:rPr>
        <w:t>法律合规</w:t>
      </w:r>
      <w:r>
        <w:rPr>
          <w:rFonts w:hint="eastAsia" w:ascii="宋体" w:hAnsi="宋体"/>
          <w:color w:val="auto"/>
        </w:rPr>
        <w:t>部收，邮编523000。</w:t>
      </w:r>
    </w:p>
    <w:p>
      <w:pPr>
        <w:widowControl/>
        <w:spacing w:before="156" w:beforeLines="50" w:after="156" w:afterLines="50" w:line="360" w:lineRule="auto"/>
        <w:ind w:left="420" w:leftChars="200"/>
        <w:contextualSpacing/>
        <w:jc w:val="left"/>
        <w:rPr>
          <w:rFonts w:ascii="宋体" w:hAnsi="宋体"/>
          <w:b/>
          <w:color w:val="auto"/>
        </w:rPr>
      </w:pPr>
      <w:r>
        <w:rPr>
          <w:rFonts w:hint="eastAsia" w:ascii="宋体" w:hAnsi="宋体"/>
          <w:b/>
          <w:color w:val="auto"/>
        </w:rPr>
        <w:t>三、其他</w:t>
      </w:r>
    </w:p>
    <w:p>
      <w:pPr>
        <w:spacing w:before="156" w:beforeLines="50" w:after="156" w:afterLines="50" w:line="360" w:lineRule="auto"/>
        <w:ind w:left="105" w:leftChars="50" w:firstLine="420" w:firstLineChars="200"/>
        <w:contextualSpacing/>
        <w:rPr>
          <w:rFonts w:ascii="宋体" w:hAnsi="宋体"/>
          <w:color w:val="auto"/>
        </w:rPr>
      </w:pPr>
      <w:r>
        <w:rPr>
          <w:rFonts w:hint="eastAsia" w:ascii="宋体" w:hAnsi="宋体"/>
          <w:color w:val="auto"/>
        </w:rPr>
        <w:t>1.本协议是原合同的补充协议，与原合同有同等法律效力。</w:t>
      </w:r>
    </w:p>
    <w:p>
      <w:pPr>
        <w:spacing w:before="156" w:beforeLines="50" w:after="156" w:afterLines="50" w:line="360" w:lineRule="auto"/>
        <w:ind w:left="105" w:leftChars="50" w:firstLine="420" w:firstLineChars="200"/>
        <w:contextualSpacing/>
        <w:rPr>
          <w:rFonts w:ascii="宋体" w:hAnsi="宋体"/>
          <w:color w:val="auto"/>
        </w:rPr>
      </w:pPr>
      <w:r>
        <w:rPr>
          <w:rFonts w:hint="eastAsia" w:ascii="宋体" w:hAnsi="宋体"/>
          <w:color w:val="auto"/>
        </w:rPr>
        <w:t>2.</w:t>
      </w:r>
      <w:r>
        <w:rPr>
          <w:rFonts w:ascii="宋体" w:hAnsi="宋体"/>
          <w:color w:val="auto"/>
        </w:rPr>
        <w:t>本</w:t>
      </w:r>
      <w:r>
        <w:rPr>
          <w:rFonts w:hint="eastAsia" w:ascii="宋体" w:hAnsi="宋体"/>
          <w:color w:val="auto"/>
        </w:rPr>
        <w:t>协议</w:t>
      </w:r>
      <w:r>
        <w:rPr>
          <w:rFonts w:ascii="宋体" w:hAnsi="宋体"/>
          <w:color w:val="auto"/>
        </w:rPr>
        <w:t>一式</w:t>
      </w:r>
      <w:r>
        <w:rPr>
          <w:rFonts w:hint="eastAsia" w:ascii="宋体" w:hAnsi="宋体"/>
          <w:color w:val="auto"/>
        </w:rPr>
        <w:t>伍</w:t>
      </w:r>
      <w:r>
        <w:rPr>
          <w:rFonts w:ascii="宋体" w:hAnsi="宋体"/>
          <w:color w:val="auto"/>
        </w:rPr>
        <w:t>份，甲方执</w:t>
      </w:r>
      <w:r>
        <w:rPr>
          <w:rFonts w:hint="eastAsia" w:ascii="宋体" w:hAnsi="宋体"/>
          <w:color w:val="auto"/>
        </w:rPr>
        <w:t>肆</w:t>
      </w:r>
      <w:r>
        <w:rPr>
          <w:rFonts w:ascii="宋体" w:hAnsi="宋体"/>
          <w:color w:val="auto"/>
        </w:rPr>
        <w:t>份，乙方执</w:t>
      </w:r>
      <w:r>
        <w:rPr>
          <w:rFonts w:hint="eastAsia" w:ascii="宋体" w:hAnsi="宋体"/>
          <w:color w:val="auto"/>
        </w:rPr>
        <w:t>壹</w:t>
      </w:r>
      <w:r>
        <w:rPr>
          <w:rFonts w:ascii="宋体" w:hAnsi="宋体"/>
          <w:color w:val="auto"/>
        </w:rPr>
        <w:t>份</w:t>
      </w:r>
      <w:r>
        <w:rPr>
          <w:rFonts w:hint="eastAsia" w:ascii="宋体" w:hAnsi="宋体"/>
          <w:color w:val="auto"/>
        </w:rPr>
        <w:t>,具有同等法律效力。</w:t>
      </w:r>
    </w:p>
    <w:p>
      <w:pPr>
        <w:spacing w:before="156" w:beforeLines="50" w:after="156" w:afterLines="50" w:line="360" w:lineRule="auto"/>
        <w:ind w:left="105" w:leftChars="50" w:firstLine="420" w:firstLineChars="200"/>
        <w:contextualSpacing/>
        <w:rPr>
          <w:rFonts w:ascii="宋体" w:hAnsi="宋体"/>
          <w:color w:val="auto"/>
        </w:rPr>
      </w:pPr>
      <w:r>
        <w:rPr>
          <w:rFonts w:hint="eastAsia" w:ascii="宋体" w:hAnsi="宋体"/>
          <w:color w:val="auto"/>
        </w:rPr>
        <w:t>3.本协议经双方签署后生效。</w:t>
      </w:r>
    </w:p>
    <w:p>
      <w:pPr>
        <w:spacing w:before="156" w:beforeLines="50" w:after="156" w:afterLines="50" w:line="360" w:lineRule="auto"/>
        <w:ind w:firstLine="420" w:firstLineChars="200"/>
        <w:contextualSpacing/>
        <w:rPr>
          <w:rFonts w:ascii="宋体" w:hAnsi="宋体"/>
          <w:color w:val="auto"/>
        </w:rPr>
      </w:pPr>
    </w:p>
    <w:p>
      <w:pPr>
        <w:spacing w:before="156" w:beforeLines="50" w:after="156" w:afterLines="50" w:line="360" w:lineRule="auto"/>
        <w:ind w:firstLine="420" w:firstLineChars="200"/>
        <w:contextualSpacing/>
        <w:rPr>
          <w:rFonts w:ascii="宋体"/>
          <w:color w:val="auto"/>
        </w:rPr>
      </w:pPr>
      <w:r>
        <w:rPr>
          <w:rFonts w:hint="eastAsia" w:ascii="宋体" w:hAnsi="宋体"/>
          <w:color w:val="auto"/>
        </w:rPr>
        <w:t>甲方（盖章）：                      乙方（盖章）：</w:t>
      </w:r>
      <w:r>
        <w:rPr>
          <w:rFonts w:ascii="宋体"/>
          <w:color w:val="auto"/>
        </w:rPr>
        <w:t xml:space="preserve"> </w:t>
      </w:r>
    </w:p>
    <w:p>
      <w:pPr>
        <w:spacing w:before="156" w:beforeLines="50" w:after="156" w:afterLines="50" w:line="360" w:lineRule="auto"/>
        <w:ind w:firstLine="420" w:firstLineChars="200"/>
        <w:contextualSpacing/>
        <w:rPr>
          <w:rFonts w:ascii="宋体" w:hAnsi="宋体"/>
          <w:color w:val="auto"/>
        </w:rPr>
      </w:pPr>
    </w:p>
    <w:p>
      <w:pPr>
        <w:spacing w:before="156" w:beforeLines="50" w:after="156" w:afterLines="50" w:line="360" w:lineRule="auto"/>
        <w:ind w:firstLine="420" w:firstLineChars="200"/>
        <w:contextualSpacing/>
        <w:rPr>
          <w:rFonts w:ascii="宋体"/>
          <w:color w:val="auto"/>
        </w:rPr>
      </w:pPr>
      <w:r>
        <w:rPr>
          <w:rFonts w:hint="eastAsia" w:ascii="宋体" w:hAnsi="宋体"/>
          <w:color w:val="auto"/>
        </w:rPr>
        <w:t>法定代表人（授权代表）：</w:t>
      </w:r>
      <w:r>
        <w:rPr>
          <w:rFonts w:hint="eastAsia" w:ascii="宋体"/>
          <w:color w:val="auto"/>
        </w:rPr>
        <w:tab/>
      </w:r>
      <w:r>
        <w:rPr>
          <w:rFonts w:hint="eastAsia" w:ascii="宋体"/>
          <w:color w:val="auto"/>
        </w:rPr>
        <w:tab/>
      </w:r>
      <w:r>
        <w:rPr>
          <w:rFonts w:hint="eastAsia" w:ascii="宋体"/>
          <w:color w:val="auto"/>
        </w:rPr>
        <w:t xml:space="preserve">  </w:t>
      </w:r>
      <w:r>
        <w:rPr>
          <w:rFonts w:hint="eastAsia" w:ascii="宋体"/>
          <w:color w:val="auto"/>
        </w:rPr>
        <w:tab/>
      </w:r>
      <w:r>
        <w:rPr>
          <w:rFonts w:hint="eastAsia" w:ascii="宋体"/>
          <w:color w:val="auto"/>
        </w:rPr>
        <w:t xml:space="preserve">   </w:t>
      </w:r>
      <w:r>
        <w:rPr>
          <w:rFonts w:hint="eastAsia" w:ascii="宋体" w:hAnsi="宋体"/>
          <w:color w:val="auto"/>
        </w:rPr>
        <w:t>法定代表人（授权代表）：</w:t>
      </w:r>
    </w:p>
    <w:p>
      <w:pPr>
        <w:spacing w:before="156" w:beforeLines="50" w:after="156" w:afterLines="50" w:line="360" w:lineRule="auto"/>
        <w:ind w:firstLine="420" w:firstLineChars="200"/>
        <w:contextualSpacing/>
        <w:rPr>
          <w:rFonts w:ascii="宋体" w:hAnsi="宋体"/>
          <w:color w:val="auto"/>
        </w:rPr>
      </w:pPr>
    </w:p>
    <w:p>
      <w:pPr>
        <w:spacing w:before="156" w:beforeLines="50" w:after="156" w:afterLines="50" w:line="360" w:lineRule="auto"/>
        <w:ind w:firstLine="420" w:firstLineChars="200"/>
        <w:contextualSpacing/>
        <w:rPr>
          <w:color w:val="auto"/>
        </w:rPr>
      </w:pPr>
      <w:r>
        <w:rPr>
          <w:rFonts w:hint="eastAsia" w:ascii="宋体" w:hAnsi="宋体"/>
          <w:color w:val="auto"/>
        </w:rPr>
        <w:t>签约日期：   年   月   日</w:t>
      </w:r>
      <w:r>
        <w:rPr>
          <w:color w:val="auto"/>
        </w:rPr>
        <w:tab/>
      </w:r>
      <w:r>
        <w:rPr>
          <w:color w:val="auto"/>
        </w:rPr>
        <w:t xml:space="preserve">    </w:t>
      </w:r>
      <w:r>
        <w:rPr>
          <w:rFonts w:hint="eastAsia"/>
          <w:color w:val="auto"/>
        </w:rPr>
        <w:t xml:space="preserve">   </w:t>
      </w:r>
      <w:r>
        <w:rPr>
          <w:rFonts w:hint="eastAsia" w:ascii="宋体" w:hAnsi="宋体"/>
          <w:color w:val="auto"/>
        </w:rPr>
        <w:t>签约日期：   年   月   日</w:t>
      </w:r>
    </w:p>
    <w:p>
      <w:pPr>
        <w:rPr>
          <w:rFonts w:ascii="宋体" w:hAnsi="宋体"/>
          <w:color w:val="auto"/>
          <w:sz w:val="24"/>
        </w:rPr>
      </w:pPr>
      <w:r>
        <w:rPr>
          <w:color w:val="auto"/>
        </w:rPr>
        <w:br w:type="page"/>
      </w:r>
      <w:r>
        <w:rPr>
          <w:rFonts w:hint="eastAsia" w:ascii="宋体" w:hAnsi="宋体"/>
          <w:color w:val="auto"/>
          <w:sz w:val="24"/>
        </w:rPr>
        <w:t>附件二</w:t>
      </w:r>
    </w:p>
    <w:p>
      <w:pPr>
        <w:adjustRightInd w:val="0"/>
        <w:snapToGrid w:val="0"/>
        <w:spacing w:line="500" w:lineRule="exact"/>
        <w:jc w:val="center"/>
        <w:rPr>
          <w:rFonts w:eastAsia="黑体"/>
          <w:color w:val="auto"/>
          <w:sz w:val="32"/>
        </w:rPr>
      </w:pPr>
      <w:r>
        <w:rPr>
          <w:rFonts w:hint="eastAsia" w:eastAsia="黑体"/>
          <w:color w:val="auto"/>
          <w:sz w:val="32"/>
        </w:rPr>
        <w:t>工 程 质 量 保 修 书</w:t>
      </w:r>
    </w:p>
    <w:p>
      <w:pPr>
        <w:adjustRightInd w:val="0"/>
        <w:snapToGrid w:val="0"/>
        <w:spacing w:line="500" w:lineRule="exact"/>
        <w:rPr>
          <w:color w:val="auto"/>
          <w:sz w:val="24"/>
        </w:rPr>
      </w:pPr>
    </w:p>
    <w:p>
      <w:pPr>
        <w:adjustRightInd w:val="0"/>
        <w:snapToGrid w:val="0"/>
        <w:spacing w:line="500" w:lineRule="exact"/>
        <w:ind w:firstLine="420" w:firstLineChars="200"/>
        <w:rPr>
          <w:color w:val="auto"/>
          <w:szCs w:val="21"/>
          <w:u w:val="single"/>
        </w:rPr>
      </w:pPr>
      <w:r>
        <w:rPr>
          <w:rFonts w:hint="eastAsia"/>
          <w:color w:val="auto"/>
          <w:szCs w:val="21"/>
        </w:rPr>
        <w:t>发包人：（全称）</w:t>
      </w:r>
      <w:r>
        <w:rPr>
          <w:rFonts w:hint="eastAsia"/>
          <w:color w:val="auto"/>
          <w:szCs w:val="21"/>
          <w:u w:val="single"/>
        </w:rPr>
        <w:t>　</w:t>
      </w:r>
      <w:r>
        <w:rPr>
          <w:rFonts w:hint="eastAsia"/>
          <w:b/>
          <w:color w:val="auto"/>
          <w:szCs w:val="21"/>
          <w:u w:val="single"/>
        </w:rPr>
        <w:t>东莞市莞城建筑工程有限公司</w:t>
      </w:r>
      <w:r>
        <w:rPr>
          <w:rFonts w:hint="eastAsia"/>
          <w:color w:val="auto"/>
          <w:szCs w:val="21"/>
          <w:u w:val="single"/>
        </w:rPr>
        <w:t xml:space="preserve">　 </w:t>
      </w:r>
    </w:p>
    <w:p>
      <w:pPr>
        <w:adjustRightInd w:val="0"/>
        <w:snapToGrid w:val="0"/>
        <w:spacing w:line="500" w:lineRule="exact"/>
        <w:ind w:firstLine="420" w:firstLineChars="200"/>
        <w:rPr>
          <w:b/>
          <w:color w:val="auto"/>
          <w:sz w:val="22"/>
          <w:u w:val="single"/>
        </w:rPr>
      </w:pPr>
      <w:r>
        <w:rPr>
          <w:rFonts w:hint="eastAsia"/>
          <w:color w:val="auto"/>
          <w:szCs w:val="21"/>
        </w:rPr>
        <w:t>承包人：（全称）</w:t>
      </w:r>
      <w:r>
        <w:rPr>
          <w:rFonts w:hint="eastAsia"/>
          <w:b/>
          <w:color w:val="auto"/>
          <w:szCs w:val="21"/>
          <w:u w:val="single"/>
        </w:rPr>
        <w:t xml:space="preserve">                                 </w:t>
      </w:r>
    </w:p>
    <w:p>
      <w:pPr>
        <w:adjustRightInd w:val="0"/>
        <w:snapToGrid w:val="0"/>
        <w:spacing w:line="500" w:lineRule="exact"/>
        <w:rPr>
          <w:color w:val="auto"/>
          <w:szCs w:val="21"/>
        </w:rPr>
      </w:pPr>
    </w:p>
    <w:p>
      <w:pPr>
        <w:adjustRightInd w:val="0"/>
        <w:snapToGrid w:val="0"/>
        <w:spacing w:line="500" w:lineRule="exact"/>
        <w:ind w:firstLine="420" w:firstLineChars="200"/>
        <w:rPr>
          <w:color w:val="auto"/>
          <w:szCs w:val="21"/>
        </w:rPr>
      </w:pPr>
      <w:r>
        <w:rPr>
          <w:rFonts w:hint="eastAsia"/>
          <w:color w:val="auto"/>
          <w:szCs w:val="21"/>
        </w:rPr>
        <w:t>为保证</w:t>
      </w:r>
      <w:r>
        <w:rPr>
          <w:rFonts w:hint="eastAsia"/>
          <w:b/>
          <w:color w:val="auto"/>
          <w:szCs w:val="21"/>
          <w:u w:val="single"/>
        </w:rPr>
        <w:t xml:space="preserve">                               </w:t>
      </w:r>
      <w:r>
        <w:rPr>
          <w:rFonts w:hint="eastAsia"/>
          <w:color w:val="auto"/>
          <w:szCs w:val="21"/>
        </w:rPr>
        <w:t>在合理使用期限内正常使用，发包人和承包人根据《中华人民共和国建筑法》、《建设工程质量管理条例》和《房屋建筑工程质量保修办法》，经协商一致，签订工程质量保修书。承包人在质量保修期内应按照有关规定及双方约定承担工程质量保修责任。</w:t>
      </w:r>
    </w:p>
    <w:p>
      <w:pPr>
        <w:adjustRightInd w:val="0"/>
        <w:snapToGrid w:val="0"/>
        <w:spacing w:line="500" w:lineRule="exact"/>
        <w:ind w:firstLine="480" w:firstLineChars="200"/>
        <w:rPr>
          <w:color w:val="auto"/>
          <w:sz w:val="24"/>
        </w:rPr>
      </w:pPr>
    </w:p>
    <w:p>
      <w:pPr>
        <w:numPr>
          <w:ilvl w:val="0"/>
          <w:numId w:val="4"/>
        </w:numPr>
        <w:adjustRightInd w:val="0"/>
        <w:snapToGrid w:val="0"/>
        <w:spacing w:line="500" w:lineRule="exact"/>
        <w:rPr>
          <w:rFonts w:eastAsia="黑体"/>
          <w:color w:val="auto"/>
          <w:szCs w:val="21"/>
        </w:rPr>
      </w:pPr>
      <w:r>
        <w:rPr>
          <w:rFonts w:hint="eastAsia" w:eastAsia="黑体"/>
          <w:color w:val="auto"/>
          <w:szCs w:val="21"/>
        </w:rPr>
        <w:t>质量保修范围</w:t>
      </w:r>
    </w:p>
    <w:p>
      <w:pPr>
        <w:adjustRightInd w:val="0"/>
        <w:snapToGrid w:val="0"/>
        <w:spacing w:line="500" w:lineRule="exact"/>
        <w:ind w:firstLine="420" w:firstLineChars="200"/>
        <w:rPr>
          <w:color w:val="auto"/>
          <w:szCs w:val="21"/>
        </w:rPr>
      </w:pPr>
      <w:r>
        <w:rPr>
          <w:rFonts w:hint="eastAsia"/>
          <w:color w:val="auto"/>
          <w:szCs w:val="21"/>
        </w:rPr>
        <w:t>质量保修范围包括地基基础工程、主体结构工程、屋面防水工程、有防水要求的卫生间、房间、外墙面的防渗漏工程、电气管线工程、给排水管道工程、设备安装工程、供热、供冷系统工程、装饰装修工程以及双方约定其他项目。具体质量保修范围，双方约定如下：</w:t>
      </w:r>
    </w:p>
    <w:p>
      <w:pPr>
        <w:adjustRightInd w:val="0"/>
        <w:snapToGrid w:val="0"/>
        <w:spacing w:line="500" w:lineRule="exact"/>
        <w:ind w:firstLine="420" w:firstLineChars="200"/>
        <w:rPr>
          <w:b/>
          <w:color w:val="auto"/>
          <w:szCs w:val="21"/>
          <w:u w:val="single"/>
        </w:rPr>
      </w:pPr>
      <w:r>
        <w:rPr>
          <w:rFonts w:hint="eastAsia"/>
          <w:color w:val="auto"/>
          <w:szCs w:val="21"/>
        </w:rPr>
        <w:t>1、</w:t>
      </w:r>
      <w:r>
        <w:rPr>
          <w:rFonts w:hint="eastAsia"/>
          <w:b/>
          <w:color w:val="auto"/>
          <w:szCs w:val="21"/>
          <w:u w:val="single"/>
        </w:rPr>
        <w:t>由于承包人施工原因造成的工程质量问题由承包人负责保修及保修费用。</w:t>
      </w:r>
    </w:p>
    <w:p>
      <w:pPr>
        <w:numPr>
          <w:ilvl w:val="0"/>
          <w:numId w:val="4"/>
        </w:numPr>
        <w:adjustRightInd w:val="0"/>
        <w:snapToGrid w:val="0"/>
        <w:spacing w:line="500" w:lineRule="exact"/>
        <w:rPr>
          <w:rFonts w:eastAsia="黑体"/>
          <w:color w:val="auto"/>
          <w:szCs w:val="21"/>
        </w:rPr>
      </w:pPr>
      <w:r>
        <w:rPr>
          <w:rFonts w:hint="eastAsia" w:eastAsia="黑体"/>
          <w:color w:val="auto"/>
          <w:szCs w:val="21"/>
        </w:rPr>
        <w:t>质量保修期</w:t>
      </w:r>
    </w:p>
    <w:p>
      <w:pPr>
        <w:adjustRightInd w:val="0"/>
        <w:snapToGrid w:val="0"/>
        <w:spacing w:line="500" w:lineRule="exact"/>
        <w:ind w:firstLine="420" w:firstLineChars="200"/>
        <w:rPr>
          <w:rFonts w:eastAsia="黑体"/>
          <w:color w:val="auto"/>
          <w:szCs w:val="21"/>
        </w:rPr>
      </w:pPr>
      <w:r>
        <w:rPr>
          <w:rFonts w:hint="eastAsia"/>
          <w:color w:val="auto"/>
          <w:szCs w:val="21"/>
        </w:rPr>
        <w:t>2.1 质量保修期从工程实际竣工之日算起。单项分部分项验收的工程，按单项工程分别计算质量保修期。</w:t>
      </w:r>
    </w:p>
    <w:p>
      <w:pPr>
        <w:adjustRightInd w:val="0"/>
        <w:snapToGrid w:val="0"/>
        <w:spacing w:line="500" w:lineRule="exact"/>
        <w:ind w:firstLine="420" w:firstLineChars="200"/>
        <w:rPr>
          <w:color w:val="auto"/>
          <w:szCs w:val="21"/>
        </w:rPr>
      </w:pPr>
      <w:r>
        <w:rPr>
          <w:rFonts w:hint="eastAsia"/>
          <w:color w:val="auto"/>
          <w:szCs w:val="21"/>
        </w:rPr>
        <w:t>2.2 双方根据《建设工程质量管理条例》及有关规定，约定本工程质量保修期如下：</w:t>
      </w:r>
    </w:p>
    <w:p>
      <w:pPr>
        <w:numPr>
          <w:ilvl w:val="0"/>
          <w:numId w:val="5"/>
        </w:numPr>
        <w:adjustRightInd w:val="0"/>
        <w:snapToGrid w:val="0"/>
        <w:spacing w:line="500" w:lineRule="exact"/>
        <w:rPr>
          <w:color w:val="auto"/>
          <w:szCs w:val="21"/>
        </w:rPr>
      </w:pPr>
      <w:r>
        <w:rPr>
          <w:rFonts w:hint="eastAsia"/>
          <w:color w:val="auto"/>
          <w:szCs w:val="21"/>
        </w:rPr>
        <w:t>地基基础工程、主体结构工程为设计文件规定的合理使用年限；</w:t>
      </w:r>
    </w:p>
    <w:p>
      <w:pPr>
        <w:numPr>
          <w:ilvl w:val="0"/>
          <w:numId w:val="5"/>
        </w:numPr>
        <w:adjustRightInd w:val="0"/>
        <w:snapToGrid w:val="0"/>
        <w:spacing w:line="500" w:lineRule="exact"/>
        <w:rPr>
          <w:color w:val="auto"/>
          <w:szCs w:val="21"/>
        </w:rPr>
      </w:pPr>
      <w:r>
        <w:rPr>
          <w:rFonts w:hint="eastAsia"/>
          <w:color w:val="auto"/>
          <w:szCs w:val="21"/>
        </w:rPr>
        <w:t>屋面防水工程、有防水要求的卫生间、房间和外墙面的防渗漏工程为</w:t>
      </w:r>
      <w:r>
        <w:rPr>
          <w:rFonts w:hint="eastAsia"/>
          <w:color w:val="auto"/>
          <w:szCs w:val="21"/>
          <w:u w:val="single"/>
        </w:rPr>
        <w:t xml:space="preserve"> </w:t>
      </w:r>
      <w:r>
        <w:rPr>
          <w:rFonts w:hint="eastAsia"/>
          <w:b/>
          <w:color w:val="auto"/>
          <w:szCs w:val="21"/>
          <w:u w:val="single"/>
        </w:rPr>
        <w:t>伍 年</w:t>
      </w:r>
      <w:r>
        <w:rPr>
          <w:rFonts w:hint="eastAsia"/>
          <w:color w:val="auto"/>
          <w:szCs w:val="21"/>
          <w:u w:val="single"/>
        </w:rPr>
        <w:t xml:space="preserve">  </w:t>
      </w:r>
      <w:r>
        <w:rPr>
          <w:rFonts w:hint="eastAsia"/>
          <w:color w:val="auto"/>
          <w:szCs w:val="21"/>
        </w:rPr>
        <w:t>；</w:t>
      </w:r>
    </w:p>
    <w:p>
      <w:pPr>
        <w:adjustRightInd w:val="0"/>
        <w:snapToGrid w:val="0"/>
        <w:spacing w:line="500" w:lineRule="exact"/>
        <w:ind w:firstLine="210" w:firstLineChars="100"/>
        <w:rPr>
          <w:color w:val="auto"/>
          <w:szCs w:val="21"/>
        </w:rPr>
      </w:pPr>
      <w:r>
        <w:rPr>
          <w:rFonts w:hint="eastAsia"/>
          <w:color w:val="auto"/>
          <w:szCs w:val="21"/>
        </w:rPr>
        <w:t xml:space="preserve">  3、电气管线工程、给排水管道工程、设备安装工程为</w:t>
      </w:r>
      <w:r>
        <w:rPr>
          <w:rFonts w:hint="eastAsia"/>
          <w:color w:val="auto"/>
          <w:szCs w:val="21"/>
          <w:u w:val="single"/>
        </w:rPr>
        <w:t xml:space="preserve"> </w:t>
      </w:r>
      <w:r>
        <w:rPr>
          <w:rFonts w:hint="eastAsia"/>
          <w:b/>
          <w:color w:val="auto"/>
          <w:szCs w:val="21"/>
          <w:u w:val="single"/>
        </w:rPr>
        <w:t xml:space="preserve">贰 </w:t>
      </w:r>
      <w:r>
        <w:rPr>
          <w:rFonts w:hint="eastAsia"/>
          <w:color w:val="auto"/>
          <w:szCs w:val="21"/>
          <w:u w:val="single"/>
        </w:rPr>
        <w:t xml:space="preserve"> </w:t>
      </w:r>
      <w:r>
        <w:rPr>
          <w:rFonts w:hint="eastAsia"/>
          <w:color w:val="auto"/>
          <w:szCs w:val="21"/>
        </w:rPr>
        <w:t>年；</w:t>
      </w:r>
    </w:p>
    <w:p>
      <w:pPr>
        <w:adjustRightInd w:val="0"/>
        <w:snapToGrid w:val="0"/>
        <w:spacing w:line="500" w:lineRule="exact"/>
        <w:ind w:firstLine="420" w:firstLineChars="200"/>
        <w:rPr>
          <w:color w:val="auto"/>
          <w:szCs w:val="21"/>
        </w:rPr>
      </w:pPr>
      <w:r>
        <w:rPr>
          <w:rFonts w:hint="eastAsia"/>
          <w:color w:val="auto"/>
          <w:szCs w:val="21"/>
        </w:rPr>
        <w:t xml:space="preserve">4、供热、供冷系统工程为 </w:t>
      </w:r>
      <w:r>
        <w:rPr>
          <w:rFonts w:hint="eastAsia"/>
          <w:color w:val="auto"/>
          <w:szCs w:val="21"/>
          <w:u w:val="single"/>
        </w:rPr>
        <w:t xml:space="preserve"> </w:t>
      </w:r>
      <w:r>
        <w:rPr>
          <w:rFonts w:hint="eastAsia"/>
          <w:b/>
          <w:color w:val="auto"/>
          <w:szCs w:val="21"/>
          <w:u w:val="single"/>
        </w:rPr>
        <w:t xml:space="preserve">贰 </w:t>
      </w:r>
      <w:r>
        <w:rPr>
          <w:rFonts w:hint="eastAsia"/>
          <w:color w:val="auto"/>
          <w:szCs w:val="21"/>
        </w:rPr>
        <w:t>个采暖期、供冷期；</w:t>
      </w:r>
    </w:p>
    <w:p>
      <w:pPr>
        <w:adjustRightInd w:val="0"/>
        <w:snapToGrid w:val="0"/>
        <w:spacing w:line="500" w:lineRule="exact"/>
        <w:ind w:firstLine="420" w:firstLineChars="200"/>
        <w:rPr>
          <w:color w:val="auto"/>
          <w:szCs w:val="21"/>
        </w:rPr>
      </w:pPr>
      <w:r>
        <w:rPr>
          <w:rFonts w:hint="eastAsia"/>
          <w:color w:val="auto"/>
          <w:szCs w:val="21"/>
        </w:rPr>
        <w:t>5、装饰装修工程为</w:t>
      </w:r>
      <w:r>
        <w:rPr>
          <w:rFonts w:hint="eastAsia"/>
          <w:b/>
          <w:color w:val="auto"/>
          <w:szCs w:val="21"/>
          <w:u w:val="single"/>
        </w:rPr>
        <w:t xml:space="preserve"> 贰</w:t>
      </w:r>
      <w:r>
        <w:rPr>
          <w:rFonts w:hint="eastAsia"/>
          <w:color w:val="auto"/>
          <w:szCs w:val="21"/>
          <w:u w:val="single"/>
        </w:rPr>
        <w:t xml:space="preserve"> </w:t>
      </w:r>
      <w:r>
        <w:rPr>
          <w:rFonts w:hint="eastAsia"/>
          <w:color w:val="auto"/>
          <w:szCs w:val="21"/>
        </w:rPr>
        <w:t>年；</w:t>
      </w:r>
    </w:p>
    <w:p>
      <w:pPr>
        <w:adjustRightInd w:val="0"/>
        <w:snapToGrid w:val="0"/>
        <w:spacing w:line="500" w:lineRule="exact"/>
        <w:ind w:firstLine="420" w:firstLineChars="200"/>
        <w:rPr>
          <w:color w:val="auto"/>
          <w:szCs w:val="21"/>
        </w:rPr>
      </w:pPr>
      <w:r>
        <w:rPr>
          <w:rFonts w:hint="eastAsia"/>
          <w:color w:val="auto"/>
          <w:szCs w:val="21"/>
        </w:rPr>
        <w:t>6、其他项目</w:t>
      </w:r>
      <w:r>
        <w:rPr>
          <w:rFonts w:hint="eastAsia"/>
          <w:color w:val="auto"/>
          <w:szCs w:val="21"/>
          <w:u w:val="single"/>
        </w:rPr>
        <w:t xml:space="preserve">     </w:t>
      </w:r>
      <w:r>
        <w:rPr>
          <w:rFonts w:hint="eastAsia"/>
          <w:b/>
          <w:color w:val="auto"/>
          <w:szCs w:val="21"/>
          <w:u w:val="single"/>
        </w:rPr>
        <w:t xml:space="preserve"> 无 </w:t>
      </w:r>
      <w:r>
        <w:rPr>
          <w:rFonts w:hint="eastAsia"/>
          <w:color w:val="auto"/>
          <w:szCs w:val="21"/>
          <w:u w:val="single"/>
        </w:rPr>
        <w:t xml:space="preserve">                            </w:t>
      </w:r>
      <w:r>
        <w:rPr>
          <w:rFonts w:hint="eastAsia"/>
          <w:color w:val="auto"/>
          <w:szCs w:val="21"/>
        </w:rPr>
        <w:t>。</w:t>
      </w:r>
    </w:p>
    <w:p>
      <w:pPr>
        <w:adjustRightInd w:val="0"/>
        <w:snapToGrid w:val="0"/>
        <w:spacing w:line="360" w:lineRule="auto"/>
        <w:ind w:firstLine="420" w:firstLineChars="200"/>
        <w:rPr>
          <w:color w:val="auto"/>
          <w:szCs w:val="21"/>
        </w:rPr>
      </w:pPr>
    </w:p>
    <w:p>
      <w:pPr>
        <w:adjustRightInd w:val="0"/>
        <w:snapToGrid w:val="0"/>
        <w:spacing w:line="500" w:lineRule="exact"/>
        <w:ind w:left="480"/>
        <w:rPr>
          <w:rFonts w:eastAsia="黑体"/>
          <w:color w:val="auto"/>
          <w:szCs w:val="21"/>
        </w:rPr>
      </w:pPr>
      <w:r>
        <w:rPr>
          <w:rFonts w:hint="eastAsia" w:eastAsia="黑体"/>
          <w:color w:val="auto"/>
          <w:szCs w:val="21"/>
        </w:rPr>
        <w:t>3． 质量保修责任</w:t>
      </w:r>
    </w:p>
    <w:p>
      <w:pPr>
        <w:spacing w:line="500" w:lineRule="exact"/>
        <w:ind w:firstLine="420" w:firstLineChars="200"/>
        <w:rPr>
          <w:color w:val="auto"/>
          <w:szCs w:val="21"/>
        </w:rPr>
      </w:pPr>
      <w:r>
        <w:rPr>
          <w:rFonts w:hint="eastAsia"/>
          <w:color w:val="auto"/>
          <w:szCs w:val="21"/>
        </w:rPr>
        <w:t>3.1  属于保修范围的项目，承包人应在接到通知后的7天内派人保修。承包人不在约定期限内派人保修，发包人可自行或指派第三方保修。</w:t>
      </w:r>
    </w:p>
    <w:p>
      <w:pPr>
        <w:adjustRightInd w:val="0"/>
        <w:snapToGrid w:val="0"/>
        <w:spacing w:line="500" w:lineRule="exact"/>
        <w:ind w:firstLine="420" w:firstLineChars="200"/>
        <w:rPr>
          <w:color w:val="auto"/>
          <w:szCs w:val="21"/>
        </w:rPr>
      </w:pPr>
      <w:r>
        <w:rPr>
          <w:rFonts w:hint="eastAsia"/>
          <w:color w:val="auto"/>
          <w:szCs w:val="21"/>
        </w:rPr>
        <w:t>3.2  发生紧急抢修事故的，承包人在接到通知后，应立即到达事故现场抢修。</w:t>
      </w:r>
    </w:p>
    <w:p>
      <w:pPr>
        <w:adjustRightInd w:val="0"/>
        <w:snapToGrid w:val="0"/>
        <w:spacing w:line="500" w:lineRule="exact"/>
        <w:ind w:firstLine="420" w:firstLineChars="200"/>
        <w:rPr>
          <w:color w:val="auto"/>
          <w:szCs w:val="21"/>
        </w:rPr>
      </w:pPr>
      <w:r>
        <w:rPr>
          <w:rFonts w:hint="eastAsia"/>
          <w:color w:val="auto"/>
          <w:szCs w:val="21"/>
        </w:rPr>
        <w:t>3.3  在国家规定的工程合理使用期限内，承包人应确保地基基础工程和主体结构的安全和质量。凡出现其质量问题，应立即报告当地建设行政主管部门，由设计单位提出保修方案，承包人应立即实施保修。</w:t>
      </w:r>
    </w:p>
    <w:p>
      <w:pPr>
        <w:adjustRightInd w:val="0"/>
        <w:snapToGrid w:val="0"/>
        <w:spacing w:line="500" w:lineRule="exact"/>
        <w:ind w:firstLine="420" w:firstLineChars="200"/>
        <w:rPr>
          <w:color w:val="auto"/>
          <w:szCs w:val="21"/>
        </w:rPr>
      </w:pPr>
      <w:r>
        <w:rPr>
          <w:rFonts w:hint="eastAsia"/>
          <w:color w:val="auto"/>
          <w:szCs w:val="21"/>
        </w:rPr>
        <w:t>3.4  质量保修完成后，由发包人组织验收。</w:t>
      </w:r>
    </w:p>
    <w:p>
      <w:pPr>
        <w:adjustRightInd w:val="0"/>
        <w:snapToGrid w:val="0"/>
        <w:spacing w:line="500" w:lineRule="exact"/>
        <w:rPr>
          <w:color w:val="auto"/>
          <w:szCs w:val="21"/>
        </w:rPr>
      </w:pPr>
    </w:p>
    <w:p>
      <w:pPr>
        <w:adjustRightInd w:val="0"/>
        <w:snapToGrid w:val="0"/>
        <w:spacing w:line="500" w:lineRule="exact"/>
        <w:ind w:left="480"/>
        <w:rPr>
          <w:rFonts w:eastAsia="黑体"/>
          <w:color w:val="auto"/>
          <w:szCs w:val="21"/>
        </w:rPr>
      </w:pPr>
      <w:r>
        <w:rPr>
          <w:rFonts w:hint="eastAsia" w:eastAsia="黑体"/>
          <w:color w:val="auto"/>
          <w:szCs w:val="21"/>
        </w:rPr>
        <w:t>4． 质量保修费用</w:t>
      </w:r>
    </w:p>
    <w:p>
      <w:pPr>
        <w:adjustRightInd w:val="0"/>
        <w:snapToGrid w:val="0"/>
        <w:spacing w:line="500" w:lineRule="exact"/>
        <w:ind w:firstLine="420" w:firstLineChars="200"/>
        <w:rPr>
          <w:color w:val="auto"/>
          <w:szCs w:val="21"/>
        </w:rPr>
      </w:pPr>
      <w:r>
        <w:rPr>
          <w:rFonts w:hint="eastAsia"/>
          <w:color w:val="auto"/>
          <w:szCs w:val="21"/>
        </w:rPr>
        <w:t>质量保修费用及相关的损害赔偿费，由造成质量缺陷的责任方承担。</w:t>
      </w:r>
    </w:p>
    <w:p>
      <w:pPr>
        <w:adjustRightInd w:val="0"/>
        <w:snapToGrid w:val="0"/>
        <w:spacing w:line="500" w:lineRule="exact"/>
        <w:ind w:firstLine="420" w:firstLineChars="200"/>
        <w:rPr>
          <w:color w:val="auto"/>
          <w:szCs w:val="21"/>
        </w:rPr>
      </w:pPr>
    </w:p>
    <w:p>
      <w:pPr>
        <w:adjustRightInd w:val="0"/>
        <w:snapToGrid w:val="0"/>
        <w:spacing w:line="500" w:lineRule="exact"/>
        <w:ind w:firstLine="420" w:firstLineChars="200"/>
        <w:rPr>
          <w:rFonts w:ascii="黑体" w:eastAsia="黑体"/>
          <w:color w:val="auto"/>
          <w:szCs w:val="21"/>
        </w:rPr>
      </w:pPr>
      <w:r>
        <w:rPr>
          <w:rFonts w:hint="eastAsia" w:ascii="黑体" w:eastAsia="黑体"/>
          <w:color w:val="auto"/>
          <w:szCs w:val="21"/>
        </w:rPr>
        <w:t>5</w:t>
      </w:r>
      <w:r>
        <w:rPr>
          <w:rFonts w:hint="eastAsia" w:eastAsia="黑体"/>
          <w:color w:val="auto"/>
          <w:szCs w:val="21"/>
        </w:rPr>
        <w:t>．</w:t>
      </w:r>
      <w:r>
        <w:rPr>
          <w:rFonts w:hint="eastAsia" w:ascii="黑体" w:eastAsia="黑体"/>
          <w:color w:val="auto"/>
          <w:szCs w:val="21"/>
        </w:rPr>
        <w:t>质量保证金</w:t>
      </w:r>
    </w:p>
    <w:p>
      <w:pPr>
        <w:adjustRightInd w:val="0"/>
        <w:snapToGrid w:val="0"/>
        <w:spacing w:line="500" w:lineRule="exact"/>
        <w:ind w:firstLine="420" w:firstLineChars="200"/>
        <w:rPr>
          <w:color w:val="auto"/>
          <w:szCs w:val="21"/>
        </w:rPr>
      </w:pPr>
      <w:r>
        <w:rPr>
          <w:rFonts w:hint="eastAsia"/>
          <w:color w:val="auto"/>
          <w:szCs w:val="21"/>
        </w:rPr>
        <w:t>质量保证金的使用、约定和支付与本合同第九条第2点以及第十二条的规定一致。</w:t>
      </w:r>
    </w:p>
    <w:p>
      <w:pPr>
        <w:adjustRightInd w:val="0"/>
        <w:snapToGrid w:val="0"/>
        <w:spacing w:line="500" w:lineRule="exact"/>
        <w:ind w:left="480"/>
        <w:rPr>
          <w:rFonts w:eastAsia="黑体"/>
          <w:color w:val="auto"/>
          <w:szCs w:val="21"/>
        </w:rPr>
      </w:pPr>
      <w:r>
        <w:rPr>
          <w:rFonts w:hint="eastAsia" w:eastAsia="黑体"/>
          <w:color w:val="auto"/>
          <w:szCs w:val="21"/>
        </w:rPr>
        <w:t>6．其它</w:t>
      </w:r>
    </w:p>
    <w:p>
      <w:pPr>
        <w:adjustRightInd w:val="0"/>
        <w:snapToGrid w:val="0"/>
        <w:spacing w:line="500" w:lineRule="exact"/>
        <w:ind w:firstLine="420" w:firstLineChars="200"/>
        <w:rPr>
          <w:color w:val="auto"/>
          <w:szCs w:val="21"/>
          <w:u w:val="single"/>
        </w:rPr>
      </w:pPr>
      <w:r>
        <w:rPr>
          <w:rFonts w:hint="eastAsia"/>
          <w:color w:val="auto"/>
          <w:szCs w:val="21"/>
        </w:rPr>
        <w:t>6.1  双方约定的其它工程质量保修事项：</w:t>
      </w:r>
      <w:r>
        <w:rPr>
          <w:rFonts w:hint="eastAsia"/>
          <w:color w:val="auto"/>
          <w:szCs w:val="21"/>
          <w:u w:val="single"/>
        </w:rPr>
        <w:t xml:space="preserve">  无   </w:t>
      </w:r>
    </w:p>
    <w:p>
      <w:pPr>
        <w:adjustRightInd w:val="0"/>
        <w:snapToGrid w:val="0"/>
        <w:spacing w:line="500" w:lineRule="exact"/>
        <w:ind w:firstLine="420" w:firstLineChars="200"/>
        <w:rPr>
          <w:color w:val="auto"/>
          <w:szCs w:val="21"/>
        </w:rPr>
      </w:pPr>
      <w:r>
        <w:rPr>
          <w:rFonts w:hint="eastAsia"/>
          <w:color w:val="auto"/>
          <w:szCs w:val="21"/>
        </w:rPr>
        <w:t>6.2  本工程质量保修书，由发包人承包人在工程分部分项验收前签署，作为合同附件，其有效期限至保修期满。</w:t>
      </w:r>
    </w:p>
    <w:p>
      <w:pPr>
        <w:adjustRightInd w:val="0"/>
        <w:snapToGrid w:val="0"/>
        <w:spacing w:line="500" w:lineRule="exact"/>
        <w:ind w:firstLine="420" w:firstLineChars="200"/>
        <w:rPr>
          <w:color w:val="auto"/>
          <w:szCs w:val="21"/>
        </w:rPr>
      </w:pPr>
      <w:r>
        <w:rPr>
          <w:rFonts w:hint="eastAsia"/>
          <w:color w:val="auto"/>
          <w:szCs w:val="21"/>
        </w:rPr>
        <w:t>6.3、属于保修范围和内容的项目。承包人应在接到修理通知之日后7天派人修理。承包人不在约定期限内派人修理，发包人可委托第三方修理，修理费从质量保修金内扣除。</w:t>
      </w:r>
    </w:p>
    <w:p>
      <w:pPr>
        <w:adjustRightInd w:val="0"/>
        <w:snapToGrid w:val="0"/>
        <w:spacing w:line="360" w:lineRule="auto"/>
        <w:ind w:firstLine="420" w:firstLineChars="200"/>
        <w:rPr>
          <w:color w:val="auto"/>
          <w:szCs w:val="21"/>
        </w:rPr>
      </w:pPr>
    </w:p>
    <w:p>
      <w:pPr>
        <w:adjustRightInd w:val="0"/>
        <w:snapToGrid w:val="0"/>
        <w:spacing w:line="360" w:lineRule="auto"/>
        <w:rPr>
          <w:color w:val="auto"/>
          <w:sz w:val="24"/>
        </w:rPr>
      </w:pPr>
    </w:p>
    <w:p>
      <w:pPr>
        <w:adjustRightInd w:val="0"/>
        <w:snapToGrid w:val="0"/>
        <w:spacing w:line="360" w:lineRule="auto"/>
        <w:ind w:firstLine="420" w:firstLineChars="200"/>
        <w:rPr>
          <w:color w:val="auto"/>
          <w:szCs w:val="21"/>
        </w:rPr>
      </w:pPr>
      <w:r>
        <w:rPr>
          <w:rFonts w:hint="eastAsia"/>
          <w:color w:val="auto"/>
          <w:szCs w:val="21"/>
        </w:rPr>
        <w:t>发 包 人 （公章）：                     承 包 人 （公章）：</w:t>
      </w:r>
    </w:p>
    <w:p>
      <w:pPr>
        <w:adjustRightInd w:val="0"/>
        <w:snapToGrid w:val="0"/>
        <w:spacing w:line="360" w:lineRule="auto"/>
        <w:ind w:firstLine="420" w:firstLineChars="200"/>
        <w:rPr>
          <w:color w:val="auto"/>
          <w:szCs w:val="21"/>
        </w:rPr>
      </w:pPr>
    </w:p>
    <w:p>
      <w:pPr>
        <w:adjustRightInd w:val="0"/>
        <w:snapToGrid w:val="0"/>
        <w:spacing w:line="360" w:lineRule="auto"/>
        <w:ind w:firstLine="420" w:firstLineChars="200"/>
        <w:rPr>
          <w:color w:val="auto"/>
          <w:szCs w:val="21"/>
        </w:rPr>
      </w:pPr>
      <w:r>
        <w:rPr>
          <w:rFonts w:hint="eastAsia"/>
          <w:color w:val="auto"/>
          <w:szCs w:val="21"/>
        </w:rPr>
        <w:t>法定代表人</w:t>
      </w:r>
      <w:r>
        <w:rPr>
          <w:rFonts w:hint="eastAsia" w:ascii="宋体" w:hAnsi="宋体"/>
          <w:color w:val="auto"/>
        </w:rPr>
        <w:t>（或授权代表）</w:t>
      </w:r>
      <w:r>
        <w:rPr>
          <w:rFonts w:hint="eastAsia"/>
          <w:color w:val="auto"/>
          <w:szCs w:val="21"/>
        </w:rPr>
        <w:t>：              法定代表人</w:t>
      </w:r>
      <w:r>
        <w:rPr>
          <w:rFonts w:hint="eastAsia" w:ascii="宋体" w:hAnsi="宋体"/>
          <w:color w:val="auto"/>
        </w:rPr>
        <w:t>（或授权代表）</w:t>
      </w:r>
      <w:r>
        <w:rPr>
          <w:rFonts w:hint="eastAsia"/>
          <w:color w:val="auto"/>
          <w:szCs w:val="21"/>
        </w:rPr>
        <w:t>：</w:t>
      </w:r>
    </w:p>
    <w:p>
      <w:pPr>
        <w:adjustRightInd w:val="0"/>
        <w:snapToGrid w:val="0"/>
        <w:spacing w:line="360" w:lineRule="auto"/>
        <w:ind w:firstLine="1680" w:firstLineChars="800"/>
        <w:rPr>
          <w:color w:val="auto"/>
          <w:szCs w:val="21"/>
        </w:rPr>
      </w:pPr>
    </w:p>
    <w:p>
      <w:pPr>
        <w:adjustRightInd w:val="0"/>
        <w:snapToGrid w:val="0"/>
        <w:spacing w:line="360" w:lineRule="auto"/>
        <w:ind w:firstLine="210" w:firstLineChars="100"/>
        <w:rPr>
          <w:color w:val="auto"/>
          <w:szCs w:val="21"/>
        </w:rPr>
      </w:pPr>
      <w:r>
        <w:rPr>
          <w:rFonts w:hint="eastAsia" w:ascii="宋体" w:hAnsi="宋体"/>
          <w:color w:val="auto"/>
          <w:u w:val="single"/>
        </w:rPr>
        <w:t xml:space="preserve">    年     月     日</w:t>
      </w:r>
      <w:r>
        <w:rPr>
          <w:rFonts w:hint="eastAsia"/>
          <w:color w:val="auto"/>
          <w:szCs w:val="21"/>
        </w:rPr>
        <w:t xml:space="preserve">                        </w:t>
      </w:r>
      <w:r>
        <w:rPr>
          <w:rFonts w:hint="eastAsia" w:ascii="宋体" w:hAnsi="宋体"/>
          <w:color w:val="auto"/>
          <w:u w:val="single"/>
        </w:rPr>
        <w:t xml:space="preserve">    年     月     日</w:t>
      </w:r>
      <w:r>
        <w:rPr>
          <w:rFonts w:ascii="宋体" w:hAnsi="宋体"/>
          <w:color w:val="auto"/>
          <w:u w:val="single"/>
        </w:rPr>
        <w:br w:type="page"/>
      </w:r>
      <w:r>
        <w:rPr>
          <w:rFonts w:hint="eastAsia" w:ascii="宋体" w:hAnsi="宋体"/>
          <w:color w:val="auto"/>
          <w:sz w:val="24"/>
        </w:rPr>
        <w:t>附件三</w:t>
      </w:r>
    </w:p>
    <w:tbl>
      <w:tblPr>
        <w:tblStyle w:val="15"/>
        <w:tblW w:w="0" w:type="auto"/>
        <w:tblInd w:w="0" w:type="dxa"/>
        <w:tblLayout w:type="fixed"/>
        <w:tblCellMar>
          <w:top w:w="0" w:type="dxa"/>
          <w:left w:w="108" w:type="dxa"/>
          <w:bottom w:w="0" w:type="dxa"/>
          <w:right w:w="108" w:type="dxa"/>
        </w:tblCellMar>
      </w:tblPr>
      <w:tblGrid>
        <w:gridCol w:w="750"/>
        <w:gridCol w:w="707"/>
        <w:gridCol w:w="460"/>
        <w:gridCol w:w="6995"/>
        <w:gridCol w:w="1050"/>
      </w:tblGrid>
      <w:tr>
        <w:tblPrEx>
          <w:tblCellMar>
            <w:top w:w="0" w:type="dxa"/>
            <w:left w:w="108" w:type="dxa"/>
            <w:bottom w:w="0" w:type="dxa"/>
            <w:right w:w="108" w:type="dxa"/>
          </w:tblCellMar>
        </w:tblPrEx>
        <w:trPr>
          <w:trHeight w:val="585" w:hRule="atLeast"/>
        </w:trPr>
        <w:tc>
          <w:tcPr>
            <w:tcW w:w="9962" w:type="dxa"/>
            <w:gridSpan w:val="5"/>
            <w:tcBorders>
              <w:top w:val="nil"/>
              <w:left w:val="nil"/>
              <w:bottom w:val="nil"/>
              <w:right w:val="nil"/>
            </w:tcBorders>
            <w:noWrap w:val="0"/>
            <w:vAlign w:val="center"/>
          </w:tcPr>
          <w:p>
            <w:pPr>
              <w:widowControl/>
              <w:jc w:val="center"/>
              <w:rPr>
                <w:rFonts w:hAnsi="宋体"/>
                <w:color w:val="auto"/>
                <w:szCs w:val="20"/>
              </w:rPr>
            </w:pPr>
          </w:p>
          <w:p>
            <w:pPr>
              <w:widowControl/>
              <w:jc w:val="center"/>
              <w:rPr>
                <w:rFonts w:hAnsi="宋体" w:cs="宋体"/>
                <w:b/>
                <w:bCs/>
                <w:color w:val="auto"/>
                <w:sz w:val="36"/>
                <w:szCs w:val="36"/>
              </w:rPr>
            </w:pPr>
            <w:r>
              <w:rPr>
                <w:rFonts w:hint="eastAsia" w:hAnsi="宋体" w:cs="宋体"/>
                <w:b/>
                <w:bCs/>
                <w:color w:val="auto"/>
                <w:sz w:val="36"/>
                <w:szCs w:val="36"/>
              </w:rPr>
              <w:t>安全文明生产管理细则</w:t>
            </w:r>
          </w:p>
        </w:tc>
      </w:tr>
      <w:tr>
        <w:tblPrEx>
          <w:tblCellMar>
            <w:top w:w="0" w:type="dxa"/>
            <w:left w:w="108" w:type="dxa"/>
            <w:bottom w:w="0" w:type="dxa"/>
            <w:right w:w="108" w:type="dxa"/>
          </w:tblCellMar>
        </w:tblPrEx>
        <w:trPr>
          <w:trHeight w:val="570" w:hRule="atLeast"/>
        </w:trPr>
        <w:tc>
          <w:tcPr>
            <w:tcW w:w="75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Ansi="宋体" w:cs="宋体"/>
                <w:color w:val="auto"/>
                <w:sz w:val="18"/>
                <w:szCs w:val="18"/>
              </w:rPr>
            </w:pPr>
            <w:r>
              <w:rPr>
                <w:rFonts w:hint="eastAsia" w:hAnsi="宋体" w:cs="宋体"/>
                <w:color w:val="auto"/>
                <w:sz w:val="18"/>
                <w:szCs w:val="18"/>
              </w:rPr>
              <w:t>检查项目</w:t>
            </w:r>
          </w:p>
        </w:tc>
        <w:tc>
          <w:tcPr>
            <w:tcW w:w="1167"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Ansi="宋体" w:cs="宋体"/>
                <w:color w:val="auto"/>
                <w:sz w:val="18"/>
                <w:szCs w:val="18"/>
              </w:rPr>
            </w:pPr>
            <w:r>
              <w:rPr>
                <w:rFonts w:hint="eastAsia" w:hAnsi="宋体" w:cs="宋体"/>
                <w:color w:val="auto"/>
                <w:sz w:val="18"/>
                <w:szCs w:val="18"/>
              </w:rPr>
              <w:t>编号</w:t>
            </w:r>
          </w:p>
        </w:tc>
        <w:tc>
          <w:tcPr>
            <w:tcW w:w="6995" w:type="dxa"/>
            <w:tcBorders>
              <w:top w:val="single" w:color="auto" w:sz="4" w:space="0"/>
              <w:left w:val="nil"/>
              <w:bottom w:val="single" w:color="auto" w:sz="4" w:space="0"/>
              <w:right w:val="single" w:color="auto" w:sz="4" w:space="0"/>
            </w:tcBorders>
            <w:noWrap w:val="0"/>
            <w:vAlign w:val="center"/>
          </w:tcPr>
          <w:p>
            <w:pPr>
              <w:widowControl/>
              <w:jc w:val="center"/>
              <w:rPr>
                <w:rFonts w:hAnsi="宋体" w:cs="宋体"/>
                <w:color w:val="auto"/>
                <w:sz w:val="18"/>
                <w:szCs w:val="18"/>
              </w:rPr>
            </w:pPr>
            <w:r>
              <w:rPr>
                <w:rFonts w:hint="eastAsia" w:hAnsi="宋体" w:cs="宋体"/>
                <w:color w:val="auto"/>
                <w:sz w:val="18"/>
                <w:szCs w:val="18"/>
              </w:rPr>
              <w:t>检查标准</w:t>
            </w:r>
          </w:p>
        </w:tc>
        <w:tc>
          <w:tcPr>
            <w:tcW w:w="1050" w:type="dxa"/>
            <w:tcBorders>
              <w:top w:val="single" w:color="auto" w:sz="4" w:space="0"/>
              <w:left w:val="nil"/>
              <w:bottom w:val="single" w:color="auto" w:sz="4" w:space="0"/>
              <w:right w:val="single" w:color="auto" w:sz="4" w:space="0"/>
            </w:tcBorders>
            <w:noWrap w:val="0"/>
            <w:vAlign w:val="center"/>
          </w:tcPr>
          <w:p>
            <w:pPr>
              <w:widowControl/>
              <w:jc w:val="center"/>
              <w:rPr>
                <w:rFonts w:hAnsi="宋体" w:cs="宋体"/>
                <w:color w:val="auto"/>
                <w:sz w:val="18"/>
                <w:szCs w:val="18"/>
              </w:rPr>
            </w:pPr>
            <w:r>
              <w:rPr>
                <w:rFonts w:hint="eastAsia" w:hAnsi="宋体" w:cs="宋体"/>
                <w:color w:val="auto"/>
                <w:sz w:val="18"/>
                <w:szCs w:val="18"/>
              </w:rPr>
              <w:t>罚款金额(元）/次</w:t>
            </w:r>
          </w:p>
        </w:tc>
      </w:tr>
      <w:tr>
        <w:tblPrEx>
          <w:tblCellMar>
            <w:top w:w="0" w:type="dxa"/>
            <w:left w:w="108" w:type="dxa"/>
            <w:bottom w:w="0" w:type="dxa"/>
            <w:right w:w="108" w:type="dxa"/>
          </w:tblCellMar>
        </w:tblPrEx>
        <w:trPr>
          <w:trHeight w:val="1002" w:hRule="atLeast"/>
        </w:trPr>
        <w:tc>
          <w:tcPr>
            <w:tcW w:w="750" w:type="dxa"/>
            <w:vMerge w:val="restart"/>
            <w:tcBorders>
              <w:top w:val="nil"/>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b/>
                <w:bCs/>
                <w:color w:val="auto"/>
                <w:sz w:val="18"/>
                <w:szCs w:val="18"/>
              </w:rPr>
            </w:pPr>
            <w:r>
              <w:rPr>
                <w:rFonts w:hint="eastAsia" w:hAnsi="宋体" w:cs="宋体"/>
                <w:b/>
                <w:bCs/>
                <w:color w:val="auto"/>
                <w:sz w:val="18"/>
                <w:szCs w:val="18"/>
              </w:rPr>
              <w:t xml:space="preserve">安全文明生产管理    </w:t>
            </w:r>
          </w:p>
        </w:tc>
        <w:tc>
          <w:tcPr>
            <w:tcW w:w="707"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b/>
                <w:bCs/>
                <w:color w:val="auto"/>
                <w:sz w:val="18"/>
                <w:szCs w:val="18"/>
              </w:rPr>
            </w:pPr>
            <w:r>
              <w:rPr>
                <w:rFonts w:hint="eastAsia" w:hAnsi="宋体" w:cs="宋体"/>
                <w:b/>
                <w:bCs/>
                <w:color w:val="auto"/>
                <w:sz w:val="18"/>
                <w:szCs w:val="18"/>
              </w:rPr>
              <w:t>基坑</w:t>
            </w:r>
          </w:p>
        </w:tc>
        <w:tc>
          <w:tcPr>
            <w:tcW w:w="460"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1</w:t>
            </w:r>
          </w:p>
        </w:tc>
        <w:tc>
          <w:tcPr>
            <w:tcW w:w="6995"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Ansi="宋体" w:cs="宋体"/>
                <w:color w:val="auto"/>
                <w:sz w:val="18"/>
                <w:szCs w:val="18"/>
              </w:rPr>
            </w:pPr>
            <w:r>
              <w:rPr>
                <w:rFonts w:hint="eastAsia" w:hAnsi="宋体" w:cs="宋体"/>
                <w:color w:val="auto"/>
                <w:sz w:val="18"/>
                <w:szCs w:val="18"/>
              </w:rPr>
              <w:t>1.基坑支护符合设计或论证要求；2.按方案进行施工和基坑监测；3.基坑强度未达到设计要求，基坑有排水措施；4.周边堆载满足设计要求且施工机械与坑边保持安全距离；5.基坑深度超过2M采用1.2M高栏杆和密目式安全网做封闭围护并设置夜晚警示灯。</w:t>
            </w:r>
          </w:p>
        </w:tc>
        <w:tc>
          <w:tcPr>
            <w:tcW w:w="1050"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500</w:t>
            </w:r>
          </w:p>
        </w:tc>
      </w:tr>
      <w:tr>
        <w:tblPrEx>
          <w:tblCellMar>
            <w:top w:w="0" w:type="dxa"/>
            <w:left w:w="108" w:type="dxa"/>
            <w:bottom w:w="0" w:type="dxa"/>
            <w:right w:w="108" w:type="dxa"/>
          </w:tblCellMar>
        </w:tblPrEx>
        <w:trPr>
          <w:trHeight w:val="702" w:hRule="atLeast"/>
        </w:trPr>
        <w:tc>
          <w:tcPr>
            <w:tcW w:w="750"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b/>
                <w:bCs/>
                <w:color w:val="auto"/>
                <w:sz w:val="18"/>
                <w:szCs w:val="18"/>
              </w:rPr>
            </w:pPr>
          </w:p>
        </w:tc>
        <w:tc>
          <w:tcPr>
            <w:tcW w:w="707" w:type="dxa"/>
            <w:vMerge w:val="restart"/>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b/>
                <w:bCs/>
                <w:color w:val="auto"/>
                <w:sz w:val="18"/>
                <w:szCs w:val="18"/>
              </w:rPr>
            </w:pPr>
            <w:r>
              <w:rPr>
                <w:rFonts w:hint="eastAsia" w:hAnsi="宋体" w:cs="宋体"/>
                <w:b/>
                <w:bCs/>
                <w:color w:val="auto"/>
                <w:sz w:val="18"/>
                <w:szCs w:val="18"/>
              </w:rPr>
              <w:t>脚手架</w:t>
            </w:r>
          </w:p>
        </w:tc>
        <w:tc>
          <w:tcPr>
            <w:tcW w:w="460"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2</w:t>
            </w:r>
          </w:p>
        </w:tc>
        <w:tc>
          <w:tcPr>
            <w:tcW w:w="6995"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Ansi="宋体" w:cs="宋体"/>
                <w:color w:val="auto"/>
                <w:sz w:val="18"/>
                <w:szCs w:val="18"/>
              </w:rPr>
            </w:pPr>
            <w:r>
              <w:rPr>
                <w:rFonts w:hint="eastAsia" w:hAnsi="宋体" w:cs="宋体"/>
                <w:color w:val="auto"/>
                <w:sz w:val="18"/>
                <w:szCs w:val="18"/>
              </w:rPr>
              <w:t>基础：1.架体基础平整、密实；2.未漏设纵横扫地撑；3.扫地杆按要求设置和固定；4.架体基础设置垫板；5.有排水设施。</w:t>
            </w:r>
          </w:p>
        </w:tc>
        <w:tc>
          <w:tcPr>
            <w:tcW w:w="1050"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500</w:t>
            </w:r>
          </w:p>
        </w:tc>
      </w:tr>
      <w:tr>
        <w:tblPrEx>
          <w:tblCellMar>
            <w:top w:w="0" w:type="dxa"/>
            <w:left w:w="108" w:type="dxa"/>
            <w:bottom w:w="0" w:type="dxa"/>
            <w:right w:w="108" w:type="dxa"/>
          </w:tblCellMar>
        </w:tblPrEx>
        <w:trPr>
          <w:trHeight w:val="1002" w:hRule="atLeast"/>
        </w:trPr>
        <w:tc>
          <w:tcPr>
            <w:tcW w:w="750"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b/>
                <w:bCs/>
                <w:color w:val="auto"/>
                <w:sz w:val="18"/>
                <w:szCs w:val="18"/>
              </w:rPr>
            </w:pPr>
          </w:p>
        </w:tc>
        <w:tc>
          <w:tcPr>
            <w:tcW w:w="707" w:type="dxa"/>
            <w:vMerge w:val="continue"/>
            <w:tcBorders>
              <w:top w:val="nil"/>
              <w:left w:val="nil"/>
              <w:bottom w:val="single" w:color="auto" w:sz="4" w:space="0"/>
              <w:right w:val="single" w:color="auto" w:sz="4" w:space="0"/>
            </w:tcBorders>
            <w:shd w:val="clear" w:color="auto" w:fill="auto"/>
            <w:noWrap w:val="0"/>
            <w:vAlign w:val="center"/>
          </w:tcPr>
          <w:p>
            <w:pPr>
              <w:widowControl/>
              <w:rPr>
                <w:rFonts w:hAnsi="宋体" w:cs="宋体"/>
                <w:b/>
                <w:bCs/>
                <w:color w:val="auto"/>
                <w:sz w:val="18"/>
                <w:szCs w:val="18"/>
              </w:rPr>
            </w:pPr>
          </w:p>
        </w:tc>
        <w:tc>
          <w:tcPr>
            <w:tcW w:w="460"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3</w:t>
            </w:r>
          </w:p>
        </w:tc>
        <w:tc>
          <w:tcPr>
            <w:tcW w:w="6995"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Ansi="宋体" w:cs="宋体"/>
                <w:color w:val="auto"/>
                <w:sz w:val="18"/>
                <w:szCs w:val="18"/>
              </w:rPr>
            </w:pPr>
            <w:r>
              <w:rPr>
                <w:rFonts w:hint="eastAsia" w:hAnsi="宋体" w:cs="宋体"/>
                <w:color w:val="auto"/>
                <w:sz w:val="18"/>
                <w:szCs w:val="18"/>
              </w:rPr>
              <w:t>架体稳定：1.架体与结构物连结方式或间距符合规范要求；2.架体第一步纵向水平杆处按规定设置连墙件；.3.超过24M双排脚手架须设置刚性连墙件；4.保证脚手架的整体性，不得与井架、升降机、模板支架等拉结，不得截断架体。</w:t>
            </w:r>
          </w:p>
        </w:tc>
        <w:tc>
          <w:tcPr>
            <w:tcW w:w="1050"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500</w:t>
            </w:r>
          </w:p>
        </w:tc>
      </w:tr>
      <w:tr>
        <w:tblPrEx>
          <w:tblCellMar>
            <w:top w:w="0" w:type="dxa"/>
            <w:left w:w="108" w:type="dxa"/>
            <w:bottom w:w="0" w:type="dxa"/>
            <w:right w:w="108" w:type="dxa"/>
          </w:tblCellMar>
        </w:tblPrEx>
        <w:trPr>
          <w:trHeight w:val="799" w:hRule="atLeast"/>
        </w:trPr>
        <w:tc>
          <w:tcPr>
            <w:tcW w:w="750"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b/>
                <w:bCs/>
                <w:color w:val="auto"/>
                <w:sz w:val="18"/>
                <w:szCs w:val="18"/>
              </w:rPr>
            </w:pPr>
          </w:p>
        </w:tc>
        <w:tc>
          <w:tcPr>
            <w:tcW w:w="707" w:type="dxa"/>
            <w:vMerge w:val="continue"/>
            <w:tcBorders>
              <w:top w:val="nil"/>
              <w:left w:val="nil"/>
              <w:bottom w:val="single" w:color="auto" w:sz="4" w:space="0"/>
              <w:right w:val="single" w:color="auto" w:sz="4" w:space="0"/>
            </w:tcBorders>
            <w:shd w:val="clear" w:color="auto" w:fill="auto"/>
            <w:noWrap w:val="0"/>
            <w:vAlign w:val="center"/>
          </w:tcPr>
          <w:p>
            <w:pPr>
              <w:widowControl/>
              <w:rPr>
                <w:rFonts w:hAnsi="宋体" w:cs="宋体"/>
                <w:b/>
                <w:bCs/>
                <w:color w:val="auto"/>
                <w:sz w:val="18"/>
                <w:szCs w:val="18"/>
              </w:rPr>
            </w:pPr>
          </w:p>
        </w:tc>
        <w:tc>
          <w:tcPr>
            <w:tcW w:w="460"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4</w:t>
            </w:r>
          </w:p>
        </w:tc>
        <w:tc>
          <w:tcPr>
            <w:tcW w:w="6995"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Ansi="宋体" w:cs="宋体"/>
                <w:color w:val="auto"/>
                <w:sz w:val="18"/>
                <w:szCs w:val="18"/>
              </w:rPr>
            </w:pPr>
            <w:r>
              <w:rPr>
                <w:rFonts w:hint="eastAsia" w:hAnsi="宋体" w:cs="宋体"/>
                <w:color w:val="auto"/>
                <w:sz w:val="18"/>
                <w:szCs w:val="18"/>
              </w:rPr>
              <w:t>杆件间距与剪刀撑：1.立杆、纵横水平杆间距超设计或规范要求；2.未按规定设置剪刀撑或横向斜撑；3.剪刀撑未沿脚手架高度连续设置或角度不规范；4.剪刀撑接长或剪刀撑斜杆与架体杆件不符合规范。</w:t>
            </w:r>
          </w:p>
        </w:tc>
        <w:tc>
          <w:tcPr>
            <w:tcW w:w="1050"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500</w:t>
            </w:r>
          </w:p>
        </w:tc>
      </w:tr>
      <w:tr>
        <w:tblPrEx>
          <w:tblCellMar>
            <w:top w:w="0" w:type="dxa"/>
            <w:left w:w="108" w:type="dxa"/>
            <w:bottom w:w="0" w:type="dxa"/>
            <w:right w:w="108" w:type="dxa"/>
          </w:tblCellMar>
        </w:tblPrEx>
        <w:trPr>
          <w:trHeight w:val="1302" w:hRule="atLeast"/>
        </w:trPr>
        <w:tc>
          <w:tcPr>
            <w:tcW w:w="750"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b/>
                <w:bCs/>
                <w:color w:val="auto"/>
                <w:sz w:val="18"/>
                <w:szCs w:val="18"/>
              </w:rPr>
            </w:pPr>
          </w:p>
        </w:tc>
        <w:tc>
          <w:tcPr>
            <w:tcW w:w="707" w:type="dxa"/>
            <w:vMerge w:val="continue"/>
            <w:tcBorders>
              <w:top w:val="nil"/>
              <w:left w:val="nil"/>
              <w:bottom w:val="single" w:color="auto" w:sz="4" w:space="0"/>
              <w:right w:val="single" w:color="auto" w:sz="4" w:space="0"/>
            </w:tcBorders>
            <w:shd w:val="clear" w:color="auto" w:fill="auto"/>
            <w:noWrap w:val="0"/>
            <w:vAlign w:val="center"/>
          </w:tcPr>
          <w:p>
            <w:pPr>
              <w:widowControl/>
              <w:rPr>
                <w:rFonts w:hAnsi="宋体" w:cs="宋体"/>
                <w:b/>
                <w:bCs/>
                <w:color w:val="auto"/>
                <w:sz w:val="18"/>
                <w:szCs w:val="18"/>
              </w:rPr>
            </w:pPr>
          </w:p>
        </w:tc>
        <w:tc>
          <w:tcPr>
            <w:tcW w:w="460"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5</w:t>
            </w:r>
          </w:p>
        </w:tc>
        <w:tc>
          <w:tcPr>
            <w:tcW w:w="6995"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Ansi="宋体" w:cs="宋体"/>
                <w:color w:val="auto"/>
                <w:sz w:val="18"/>
                <w:szCs w:val="18"/>
              </w:rPr>
            </w:pPr>
            <w:r>
              <w:rPr>
                <w:rFonts w:hint="eastAsia" w:hAnsi="宋体" w:cs="宋体"/>
                <w:color w:val="auto"/>
                <w:sz w:val="18"/>
                <w:szCs w:val="18"/>
              </w:rPr>
              <w:t>脚手板与防护栏杆：1.脚手板要满铺；2.架体外侧安全网要密闭；3.防护栏杆符合设计要求；4.脚手板规格和材质符合要求；5.作业层未设置高度不小于180mm的挡脚板；6.排栅平桥不得放置施工机具，堆放材料、杂物；7.外脚手架进度需跟上建筑主体施工进度且保持高出工作面1.2米以上并搭设安全网；8.搭设人员上下专用通道、顶层上屋面施工梯；9.作业层或作业层以下10m未采用安全平网封闭。</w:t>
            </w:r>
          </w:p>
        </w:tc>
        <w:tc>
          <w:tcPr>
            <w:tcW w:w="1050"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500</w:t>
            </w:r>
          </w:p>
        </w:tc>
      </w:tr>
      <w:tr>
        <w:tblPrEx>
          <w:tblCellMar>
            <w:top w:w="0" w:type="dxa"/>
            <w:left w:w="108" w:type="dxa"/>
            <w:bottom w:w="0" w:type="dxa"/>
            <w:right w:w="108" w:type="dxa"/>
          </w:tblCellMar>
        </w:tblPrEx>
        <w:trPr>
          <w:trHeight w:val="360" w:hRule="atLeast"/>
        </w:trPr>
        <w:tc>
          <w:tcPr>
            <w:tcW w:w="750"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b/>
                <w:bCs/>
                <w:color w:val="auto"/>
                <w:sz w:val="18"/>
                <w:szCs w:val="18"/>
              </w:rPr>
            </w:pPr>
          </w:p>
        </w:tc>
        <w:tc>
          <w:tcPr>
            <w:tcW w:w="707" w:type="dxa"/>
            <w:vMerge w:val="continue"/>
            <w:tcBorders>
              <w:top w:val="nil"/>
              <w:left w:val="nil"/>
              <w:bottom w:val="single" w:color="auto" w:sz="4" w:space="0"/>
              <w:right w:val="single" w:color="auto" w:sz="4" w:space="0"/>
            </w:tcBorders>
            <w:shd w:val="clear" w:color="auto" w:fill="auto"/>
            <w:noWrap w:val="0"/>
            <w:vAlign w:val="center"/>
          </w:tcPr>
          <w:p>
            <w:pPr>
              <w:widowControl/>
              <w:rPr>
                <w:rFonts w:hAnsi="宋体" w:cs="宋体"/>
                <w:b/>
                <w:bCs/>
                <w:color w:val="auto"/>
                <w:sz w:val="18"/>
                <w:szCs w:val="18"/>
              </w:rPr>
            </w:pPr>
          </w:p>
        </w:tc>
        <w:tc>
          <w:tcPr>
            <w:tcW w:w="460"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6</w:t>
            </w:r>
          </w:p>
        </w:tc>
        <w:tc>
          <w:tcPr>
            <w:tcW w:w="6995"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Ansi="宋体" w:cs="宋体"/>
                <w:color w:val="auto"/>
                <w:sz w:val="18"/>
                <w:szCs w:val="18"/>
              </w:rPr>
            </w:pPr>
            <w:r>
              <w:rPr>
                <w:rFonts w:hint="eastAsia" w:hAnsi="宋体" w:cs="宋体"/>
                <w:color w:val="auto"/>
                <w:sz w:val="18"/>
                <w:szCs w:val="18"/>
              </w:rPr>
              <w:t>安全网、钢管、脚手架扣件不符合质量要求。</w:t>
            </w:r>
          </w:p>
        </w:tc>
        <w:tc>
          <w:tcPr>
            <w:tcW w:w="1050"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500</w:t>
            </w:r>
          </w:p>
        </w:tc>
      </w:tr>
      <w:tr>
        <w:tblPrEx>
          <w:tblCellMar>
            <w:top w:w="0" w:type="dxa"/>
            <w:left w:w="108" w:type="dxa"/>
            <w:bottom w:w="0" w:type="dxa"/>
            <w:right w:w="108" w:type="dxa"/>
          </w:tblCellMar>
        </w:tblPrEx>
        <w:trPr>
          <w:trHeight w:val="360" w:hRule="atLeast"/>
        </w:trPr>
        <w:tc>
          <w:tcPr>
            <w:tcW w:w="750"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b/>
                <w:bCs/>
                <w:color w:val="auto"/>
                <w:sz w:val="18"/>
                <w:szCs w:val="18"/>
              </w:rPr>
            </w:pPr>
          </w:p>
        </w:tc>
        <w:tc>
          <w:tcPr>
            <w:tcW w:w="707" w:type="dxa"/>
            <w:vMerge w:val="continue"/>
            <w:tcBorders>
              <w:top w:val="nil"/>
              <w:left w:val="nil"/>
              <w:bottom w:val="single" w:color="auto" w:sz="4" w:space="0"/>
              <w:right w:val="single" w:color="auto" w:sz="4" w:space="0"/>
            </w:tcBorders>
            <w:shd w:val="clear" w:color="auto" w:fill="auto"/>
            <w:noWrap w:val="0"/>
            <w:vAlign w:val="center"/>
          </w:tcPr>
          <w:p>
            <w:pPr>
              <w:widowControl/>
              <w:rPr>
                <w:rFonts w:hAnsi="宋体" w:cs="宋体"/>
                <w:b/>
                <w:bCs/>
                <w:color w:val="auto"/>
                <w:sz w:val="18"/>
                <w:szCs w:val="18"/>
              </w:rPr>
            </w:pPr>
          </w:p>
        </w:tc>
        <w:tc>
          <w:tcPr>
            <w:tcW w:w="460"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7</w:t>
            </w:r>
          </w:p>
        </w:tc>
        <w:tc>
          <w:tcPr>
            <w:tcW w:w="6995"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Ansi="宋体" w:cs="宋体"/>
                <w:color w:val="auto"/>
                <w:sz w:val="18"/>
                <w:szCs w:val="18"/>
              </w:rPr>
            </w:pPr>
            <w:r>
              <w:rPr>
                <w:rFonts w:hint="eastAsia" w:hAnsi="宋体" w:cs="宋体"/>
                <w:color w:val="auto"/>
                <w:sz w:val="18"/>
                <w:szCs w:val="18"/>
              </w:rPr>
              <w:t>砂浆机、搅拌机、钢筋加工场地未搭设防护棚。</w:t>
            </w:r>
          </w:p>
        </w:tc>
        <w:tc>
          <w:tcPr>
            <w:tcW w:w="1050"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500</w:t>
            </w:r>
          </w:p>
        </w:tc>
      </w:tr>
      <w:tr>
        <w:tblPrEx>
          <w:tblCellMar>
            <w:top w:w="0" w:type="dxa"/>
            <w:left w:w="108" w:type="dxa"/>
            <w:bottom w:w="0" w:type="dxa"/>
            <w:right w:w="108" w:type="dxa"/>
          </w:tblCellMar>
        </w:tblPrEx>
        <w:trPr>
          <w:trHeight w:val="1302" w:hRule="atLeast"/>
        </w:trPr>
        <w:tc>
          <w:tcPr>
            <w:tcW w:w="750"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b/>
                <w:bCs/>
                <w:color w:val="auto"/>
                <w:sz w:val="18"/>
                <w:szCs w:val="18"/>
              </w:rPr>
            </w:pPr>
          </w:p>
        </w:tc>
        <w:tc>
          <w:tcPr>
            <w:tcW w:w="707" w:type="dxa"/>
            <w:vMerge w:val="restart"/>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b/>
                <w:bCs/>
                <w:color w:val="auto"/>
                <w:sz w:val="18"/>
                <w:szCs w:val="18"/>
              </w:rPr>
            </w:pPr>
            <w:r>
              <w:rPr>
                <w:rFonts w:hint="eastAsia" w:hAnsi="宋体" w:cs="宋体"/>
                <w:b/>
                <w:bCs/>
                <w:color w:val="auto"/>
                <w:sz w:val="18"/>
                <w:szCs w:val="18"/>
              </w:rPr>
              <w:t>施工用电</w:t>
            </w:r>
          </w:p>
        </w:tc>
        <w:tc>
          <w:tcPr>
            <w:tcW w:w="460"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8</w:t>
            </w:r>
          </w:p>
        </w:tc>
        <w:tc>
          <w:tcPr>
            <w:tcW w:w="6995"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Ansi="宋体" w:cs="宋体"/>
                <w:color w:val="auto"/>
                <w:sz w:val="18"/>
                <w:szCs w:val="18"/>
              </w:rPr>
            </w:pPr>
            <w:r>
              <w:rPr>
                <w:rFonts w:hint="eastAsia" w:hAnsi="宋体" w:cs="宋体"/>
                <w:color w:val="auto"/>
                <w:sz w:val="18"/>
                <w:szCs w:val="18"/>
              </w:rPr>
              <w:t>1.外电线路与在建工程、脚手架、起重机、机械设备保持必要的安全距离；2.防护设备未设置明显警示标志；3.接地与接零保护必须采用TN-S供电系统，接地（包括防雷接地）电阻符合要求；4.工作接地与重复接地的设置、安装不符合要求，接地材料不符合要求；5.施工起重机、提升机、升降机、脚手架防雷设施不符合规范要求；</w:t>
            </w:r>
          </w:p>
        </w:tc>
        <w:tc>
          <w:tcPr>
            <w:tcW w:w="1050"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500</w:t>
            </w:r>
          </w:p>
        </w:tc>
      </w:tr>
      <w:tr>
        <w:tblPrEx>
          <w:tblCellMar>
            <w:top w:w="0" w:type="dxa"/>
            <w:left w:w="108" w:type="dxa"/>
            <w:bottom w:w="0" w:type="dxa"/>
            <w:right w:w="108" w:type="dxa"/>
          </w:tblCellMar>
        </w:tblPrEx>
        <w:trPr>
          <w:trHeight w:val="1302" w:hRule="atLeast"/>
        </w:trPr>
        <w:tc>
          <w:tcPr>
            <w:tcW w:w="750"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b/>
                <w:bCs/>
                <w:color w:val="auto"/>
                <w:sz w:val="18"/>
                <w:szCs w:val="18"/>
              </w:rPr>
            </w:pPr>
          </w:p>
        </w:tc>
        <w:tc>
          <w:tcPr>
            <w:tcW w:w="707" w:type="dxa"/>
            <w:vMerge w:val="continue"/>
            <w:tcBorders>
              <w:top w:val="nil"/>
              <w:left w:val="nil"/>
              <w:bottom w:val="single" w:color="auto" w:sz="4" w:space="0"/>
              <w:right w:val="single" w:color="auto" w:sz="4" w:space="0"/>
            </w:tcBorders>
            <w:shd w:val="clear" w:color="auto" w:fill="auto"/>
            <w:noWrap w:val="0"/>
            <w:vAlign w:val="center"/>
          </w:tcPr>
          <w:p>
            <w:pPr>
              <w:widowControl/>
              <w:rPr>
                <w:rFonts w:hAnsi="宋体" w:cs="宋体"/>
                <w:b/>
                <w:bCs/>
                <w:color w:val="auto"/>
                <w:sz w:val="18"/>
                <w:szCs w:val="18"/>
              </w:rPr>
            </w:pPr>
          </w:p>
        </w:tc>
        <w:tc>
          <w:tcPr>
            <w:tcW w:w="460"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9</w:t>
            </w:r>
          </w:p>
        </w:tc>
        <w:tc>
          <w:tcPr>
            <w:tcW w:w="6995"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Ansi="宋体" w:cs="宋体"/>
                <w:color w:val="auto"/>
                <w:sz w:val="18"/>
                <w:szCs w:val="18"/>
              </w:rPr>
            </w:pPr>
            <w:r>
              <w:rPr>
                <w:rFonts w:hint="eastAsia" w:hAnsi="宋体" w:cs="宋体"/>
                <w:color w:val="auto"/>
                <w:sz w:val="18"/>
                <w:szCs w:val="18"/>
              </w:rPr>
              <w:t>1.配电线路架空电缆干线按要求采用埋地或架空设，严禁沿地面明设、随地拖拉或绑在脚手架上；2.严禁使用老化、破皮电线、电缆；3.配电箱与开关箱采用三级配电两级保护，配电箱采用“一机一闸一漏”；4.箱体结构与箱内电器设置符合规范，严禁配电箱乱接电线,严禁同一个开关电器控制两个及以上用电设备（含插座）；5.特殊场地及手执照明灯使用36V及以下电源。</w:t>
            </w:r>
          </w:p>
        </w:tc>
        <w:tc>
          <w:tcPr>
            <w:tcW w:w="1050"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500</w:t>
            </w:r>
          </w:p>
        </w:tc>
      </w:tr>
      <w:tr>
        <w:tblPrEx>
          <w:tblCellMar>
            <w:top w:w="0" w:type="dxa"/>
            <w:left w:w="108" w:type="dxa"/>
            <w:bottom w:w="0" w:type="dxa"/>
            <w:right w:w="108" w:type="dxa"/>
          </w:tblCellMar>
        </w:tblPrEx>
        <w:trPr>
          <w:trHeight w:val="1602" w:hRule="atLeast"/>
        </w:trPr>
        <w:tc>
          <w:tcPr>
            <w:tcW w:w="750"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b/>
                <w:bCs/>
                <w:color w:val="auto"/>
                <w:sz w:val="18"/>
                <w:szCs w:val="18"/>
              </w:rPr>
            </w:pPr>
          </w:p>
        </w:tc>
        <w:tc>
          <w:tcPr>
            <w:tcW w:w="707" w:type="dxa"/>
            <w:vMerge w:val="restart"/>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b/>
                <w:bCs/>
                <w:color w:val="auto"/>
                <w:sz w:val="18"/>
                <w:szCs w:val="18"/>
              </w:rPr>
            </w:pPr>
            <w:r>
              <w:rPr>
                <w:rFonts w:hint="eastAsia" w:hAnsi="宋体" w:cs="宋体"/>
                <w:b/>
                <w:bCs/>
                <w:color w:val="auto"/>
                <w:sz w:val="18"/>
                <w:szCs w:val="18"/>
              </w:rPr>
              <w:t>施工机械及机具</w:t>
            </w:r>
          </w:p>
        </w:tc>
        <w:tc>
          <w:tcPr>
            <w:tcW w:w="460"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10</w:t>
            </w:r>
          </w:p>
        </w:tc>
        <w:tc>
          <w:tcPr>
            <w:tcW w:w="6995"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Ansi="宋体" w:cs="宋体"/>
                <w:color w:val="auto"/>
                <w:sz w:val="18"/>
                <w:szCs w:val="18"/>
              </w:rPr>
            </w:pPr>
            <w:r>
              <w:rPr>
                <w:rFonts w:hint="eastAsia" w:hAnsi="宋体" w:cs="宋体"/>
                <w:color w:val="auto"/>
                <w:sz w:val="18"/>
                <w:szCs w:val="18"/>
              </w:rPr>
              <w:t>1.垂直提升机械（包括塔吊）必须办理登记备案和验收合格后才能使用；2.按规定时间进行安全检查和保养；3.操作人员需持证上岗；4.钢丝绳符合要求，无安全隐患；5.起重设备的安装与拆卸必须由具备资质的专业公司施工，人员持作业上岗证；6.塔吊的载荷限制、行程限位、保护限位装置处于有效状态；7.施工升降机的限位装置、防坠安全器、超载保护装置正常有效，防护栏、防护棚、层门符合要求；8.提升机扶墙架与建筑物的连接方式与角度以及扶墙架间距符合说明书要求。</w:t>
            </w:r>
          </w:p>
        </w:tc>
        <w:tc>
          <w:tcPr>
            <w:tcW w:w="1050"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500</w:t>
            </w:r>
          </w:p>
        </w:tc>
      </w:tr>
      <w:tr>
        <w:tblPrEx>
          <w:tblCellMar>
            <w:top w:w="0" w:type="dxa"/>
            <w:left w:w="108" w:type="dxa"/>
            <w:bottom w:w="0" w:type="dxa"/>
            <w:right w:w="108" w:type="dxa"/>
          </w:tblCellMar>
        </w:tblPrEx>
        <w:trPr>
          <w:trHeight w:val="702" w:hRule="atLeast"/>
        </w:trPr>
        <w:tc>
          <w:tcPr>
            <w:tcW w:w="750"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b/>
                <w:bCs/>
                <w:color w:val="auto"/>
                <w:sz w:val="18"/>
                <w:szCs w:val="18"/>
              </w:rPr>
            </w:pPr>
          </w:p>
        </w:tc>
        <w:tc>
          <w:tcPr>
            <w:tcW w:w="707" w:type="dxa"/>
            <w:vMerge w:val="continue"/>
            <w:tcBorders>
              <w:top w:val="nil"/>
              <w:left w:val="nil"/>
              <w:bottom w:val="single" w:color="auto" w:sz="4" w:space="0"/>
              <w:right w:val="single" w:color="auto" w:sz="4" w:space="0"/>
            </w:tcBorders>
            <w:shd w:val="clear" w:color="auto" w:fill="auto"/>
            <w:noWrap w:val="0"/>
            <w:vAlign w:val="center"/>
          </w:tcPr>
          <w:p>
            <w:pPr>
              <w:widowControl/>
              <w:rPr>
                <w:rFonts w:hAnsi="宋体" w:cs="宋体"/>
                <w:b/>
                <w:bCs/>
                <w:color w:val="auto"/>
                <w:sz w:val="18"/>
                <w:szCs w:val="18"/>
              </w:rPr>
            </w:pPr>
          </w:p>
        </w:tc>
        <w:tc>
          <w:tcPr>
            <w:tcW w:w="460"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11</w:t>
            </w:r>
          </w:p>
        </w:tc>
        <w:tc>
          <w:tcPr>
            <w:tcW w:w="6995"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Ansi="宋体" w:cs="宋体"/>
                <w:color w:val="auto"/>
                <w:sz w:val="18"/>
                <w:szCs w:val="18"/>
              </w:rPr>
            </w:pPr>
            <w:r>
              <w:rPr>
                <w:rFonts w:hint="eastAsia" w:hAnsi="宋体" w:cs="宋体"/>
                <w:color w:val="auto"/>
                <w:sz w:val="18"/>
                <w:szCs w:val="18"/>
              </w:rPr>
              <w:t>1.平刨、圆盘锯、钢筋加工机、电焊机、搅拌机、振捣器加设防护罩和漏电保护器；2.手持电动工具等各类施工机械二次接线长度超过规定、老化、未进行穿管保护。</w:t>
            </w:r>
          </w:p>
        </w:tc>
        <w:tc>
          <w:tcPr>
            <w:tcW w:w="1050"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500</w:t>
            </w:r>
          </w:p>
        </w:tc>
      </w:tr>
      <w:tr>
        <w:tblPrEx>
          <w:tblCellMar>
            <w:top w:w="0" w:type="dxa"/>
            <w:left w:w="108" w:type="dxa"/>
            <w:bottom w:w="0" w:type="dxa"/>
            <w:right w:w="108" w:type="dxa"/>
          </w:tblCellMar>
        </w:tblPrEx>
        <w:trPr>
          <w:trHeight w:val="702" w:hRule="atLeast"/>
        </w:trPr>
        <w:tc>
          <w:tcPr>
            <w:tcW w:w="750"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b/>
                <w:bCs/>
                <w:color w:val="auto"/>
                <w:sz w:val="18"/>
                <w:szCs w:val="18"/>
              </w:rPr>
            </w:pPr>
          </w:p>
        </w:tc>
        <w:tc>
          <w:tcPr>
            <w:tcW w:w="707" w:type="dxa"/>
            <w:vMerge w:val="restart"/>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b/>
                <w:bCs/>
                <w:color w:val="auto"/>
                <w:sz w:val="18"/>
                <w:szCs w:val="18"/>
              </w:rPr>
            </w:pPr>
            <w:r>
              <w:rPr>
                <w:rFonts w:hint="eastAsia" w:hAnsi="宋体" w:cs="宋体"/>
                <w:b/>
                <w:bCs/>
                <w:color w:val="auto"/>
                <w:sz w:val="18"/>
                <w:szCs w:val="18"/>
              </w:rPr>
              <w:t>高处作业</w:t>
            </w:r>
          </w:p>
        </w:tc>
        <w:tc>
          <w:tcPr>
            <w:tcW w:w="460"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12</w:t>
            </w:r>
          </w:p>
        </w:tc>
        <w:tc>
          <w:tcPr>
            <w:tcW w:w="6995"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Ansi="宋体" w:cs="宋体"/>
                <w:color w:val="auto"/>
                <w:sz w:val="18"/>
                <w:szCs w:val="18"/>
              </w:rPr>
            </w:pPr>
            <w:r>
              <w:rPr>
                <w:rFonts w:hint="eastAsia" w:hAnsi="宋体" w:cs="宋体"/>
                <w:color w:val="auto"/>
                <w:sz w:val="18"/>
                <w:szCs w:val="18"/>
              </w:rPr>
              <w:t>1.施工人员未佩戴安全帽或安全帽不符合规范要求；2.高空作业人员未系安全带或系挂不符合要求；3.悬空作业未设置防护栏杆或其他安全措施；4.攀登作业梯子质量合格，制作和使用规范；</w:t>
            </w:r>
          </w:p>
        </w:tc>
        <w:tc>
          <w:tcPr>
            <w:tcW w:w="1050"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500</w:t>
            </w:r>
          </w:p>
        </w:tc>
      </w:tr>
      <w:tr>
        <w:tblPrEx>
          <w:tblCellMar>
            <w:top w:w="0" w:type="dxa"/>
            <w:left w:w="108" w:type="dxa"/>
            <w:bottom w:w="0" w:type="dxa"/>
            <w:right w:w="108" w:type="dxa"/>
          </w:tblCellMar>
        </w:tblPrEx>
        <w:trPr>
          <w:trHeight w:val="900" w:hRule="atLeast"/>
        </w:trPr>
        <w:tc>
          <w:tcPr>
            <w:tcW w:w="750"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b/>
                <w:bCs/>
                <w:color w:val="auto"/>
                <w:sz w:val="18"/>
                <w:szCs w:val="18"/>
              </w:rPr>
            </w:pPr>
          </w:p>
        </w:tc>
        <w:tc>
          <w:tcPr>
            <w:tcW w:w="707" w:type="dxa"/>
            <w:vMerge w:val="continue"/>
            <w:tcBorders>
              <w:top w:val="nil"/>
              <w:left w:val="nil"/>
              <w:bottom w:val="single" w:color="auto" w:sz="4" w:space="0"/>
              <w:right w:val="single" w:color="auto" w:sz="4" w:space="0"/>
            </w:tcBorders>
            <w:shd w:val="clear" w:color="auto" w:fill="auto"/>
            <w:noWrap w:val="0"/>
            <w:vAlign w:val="center"/>
          </w:tcPr>
          <w:p>
            <w:pPr>
              <w:widowControl/>
              <w:rPr>
                <w:rFonts w:hAnsi="宋体" w:cs="宋体"/>
                <w:b/>
                <w:bCs/>
                <w:color w:val="auto"/>
                <w:sz w:val="18"/>
                <w:szCs w:val="18"/>
              </w:rPr>
            </w:pPr>
          </w:p>
        </w:tc>
        <w:tc>
          <w:tcPr>
            <w:tcW w:w="460"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13</w:t>
            </w:r>
          </w:p>
        </w:tc>
        <w:tc>
          <w:tcPr>
            <w:tcW w:w="6995"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Ansi="宋体" w:cs="宋体"/>
                <w:color w:val="auto"/>
                <w:sz w:val="18"/>
                <w:szCs w:val="18"/>
              </w:rPr>
            </w:pPr>
            <w:r>
              <w:rPr>
                <w:rFonts w:hint="eastAsia" w:hAnsi="宋体" w:cs="宋体"/>
                <w:color w:val="auto"/>
                <w:sz w:val="18"/>
                <w:szCs w:val="18"/>
              </w:rPr>
              <w:t>1.防护设施强度和构造不符合规范；2.楼梯口设置1.2M高防护栏杆和30CM高踢脚杆；3.阳台、楼板、屋面设置1.2M和0.6M两道水平杆；4.电梯井口设置1.5M防护栏杆；4.电梯井内自二层楼面起不超过两层（不超过10M）设置硬质安全防护；5.预留洞口及坑井边按要求设置有效的防护；</w:t>
            </w:r>
          </w:p>
        </w:tc>
        <w:tc>
          <w:tcPr>
            <w:tcW w:w="1050"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500</w:t>
            </w:r>
          </w:p>
        </w:tc>
      </w:tr>
      <w:tr>
        <w:tblPrEx>
          <w:tblCellMar>
            <w:top w:w="0" w:type="dxa"/>
            <w:left w:w="108" w:type="dxa"/>
            <w:bottom w:w="0" w:type="dxa"/>
            <w:right w:w="108" w:type="dxa"/>
          </w:tblCellMar>
        </w:tblPrEx>
        <w:trPr>
          <w:trHeight w:val="900" w:hRule="atLeast"/>
        </w:trPr>
        <w:tc>
          <w:tcPr>
            <w:tcW w:w="750"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b/>
                <w:bCs/>
                <w:color w:val="auto"/>
                <w:sz w:val="18"/>
                <w:szCs w:val="18"/>
              </w:rPr>
            </w:pPr>
          </w:p>
        </w:tc>
        <w:tc>
          <w:tcPr>
            <w:tcW w:w="707" w:type="dxa"/>
            <w:vMerge w:val="continue"/>
            <w:tcBorders>
              <w:top w:val="nil"/>
              <w:left w:val="nil"/>
              <w:bottom w:val="single" w:color="auto" w:sz="4" w:space="0"/>
              <w:right w:val="single" w:color="auto" w:sz="4" w:space="0"/>
            </w:tcBorders>
            <w:shd w:val="clear" w:color="auto" w:fill="auto"/>
            <w:noWrap w:val="0"/>
            <w:vAlign w:val="center"/>
          </w:tcPr>
          <w:p>
            <w:pPr>
              <w:widowControl/>
              <w:rPr>
                <w:rFonts w:hAnsi="宋体" w:cs="宋体"/>
                <w:b/>
                <w:bCs/>
                <w:color w:val="auto"/>
                <w:sz w:val="18"/>
                <w:szCs w:val="18"/>
              </w:rPr>
            </w:pPr>
          </w:p>
        </w:tc>
        <w:tc>
          <w:tcPr>
            <w:tcW w:w="460"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14</w:t>
            </w:r>
          </w:p>
        </w:tc>
        <w:tc>
          <w:tcPr>
            <w:tcW w:w="6995"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Ansi="宋体" w:cs="宋体"/>
                <w:color w:val="auto"/>
                <w:sz w:val="18"/>
                <w:szCs w:val="18"/>
              </w:rPr>
            </w:pPr>
            <w:r>
              <w:rPr>
                <w:rFonts w:hint="eastAsia" w:hAnsi="宋体" w:cs="宋体"/>
                <w:color w:val="auto"/>
                <w:sz w:val="18"/>
                <w:szCs w:val="18"/>
              </w:rPr>
              <w:t>1.防护棚两侧未封闭或防护不牢固；2.建筑物超过24m防护棚未采用双层防护；3.悬挑平台下部支撑系统或上部拉结点设置在建筑物结构上；4.斜拉杆或钢丝绳按要求在两侧各设置两道；5.按要求设置固定防护栏杆或挡脚板，平台和建筑结构之间铺设严密；6.未在平台明显处设置核准限定牌。</w:t>
            </w:r>
          </w:p>
        </w:tc>
        <w:tc>
          <w:tcPr>
            <w:tcW w:w="1050"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500</w:t>
            </w:r>
          </w:p>
        </w:tc>
      </w:tr>
      <w:tr>
        <w:tblPrEx>
          <w:tblCellMar>
            <w:top w:w="0" w:type="dxa"/>
            <w:left w:w="108" w:type="dxa"/>
            <w:bottom w:w="0" w:type="dxa"/>
            <w:right w:w="108" w:type="dxa"/>
          </w:tblCellMar>
        </w:tblPrEx>
        <w:trPr>
          <w:trHeight w:val="799" w:hRule="atLeast"/>
        </w:trPr>
        <w:tc>
          <w:tcPr>
            <w:tcW w:w="750"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b/>
                <w:bCs/>
                <w:color w:val="auto"/>
                <w:sz w:val="18"/>
                <w:szCs w:val="18"/>
              </w:rPr>
            </w:pPr>
          </w:p>
        </w:tc>
        <w:tc>
          <w:tcPr>
            <w:tcW w:w="707" w:type="dxa"/>
            <w:vMerge w:val="restart"/>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b/>
                <w:bCs/>
                <w:color w:val="auto"/>
                <w:sz w:val="18"/>
                <w:szCs w:val="18"/>
              </w:rPr>
            </w:pPr>
            <w:r>
              <w:rPr>
                <w:rFonts w:hint="eastAsia" w:hAnsi="宋体" w:cs="宋体"/>
                <w:b/>
                <w:bCs/>
                <w:color w:val="auto"/>
                <w:sz w:val="18"/>
                <w:szCs w:val="18"/>
              </w:rPr>
              <w:t>高大模板</w:t>
            </w:r>
          </w:p>
        </w:tc>
        <w:tc>
          <w:tcPr>
            <w:tcW w:w="460"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15</w:t>
            </w:r>
          </w:p>
        </w:tc>
        <w:tc>
          <w:tcPr>
            <w:tcW w:w="6995" w:type="dxa"/>
            <w:tcBorders>
              <w:top w:val="nil"/>
              <w:left w:val="nil"/>
              <w:bottom w:val="nil"/>
              <w:right w:val="nil"/>
            </w:tcBorders>
            <w:shd w:val="clear" w:color="000000" w:fill="FFFFFF"/>
            <w:noWrap w:val="0"/>
            <w:vAlign w:val="center"/>
          </w:tcPr>
          <w:p>
            <w:pPr>
              <w:widowControl/>
              <w:rPr>
                <w:rFonts w:hAnsi="宋体" w:cs="宋体"/>
                <w:color w:val="auto"/>
                <w:sz w:val="18"/>
                <w:szCs w:val="18"/>
              </w:rPr>
            </w:pPr>
            <w:r>
              <w:rPr>
                <w:rFonts w:hint="eastAsia" w:hAnsi="宋体" w:cs="宋体"/>
                <w:color w:val="auto"/>
                <w:sz w:val="18"/>
                <w:szCs w:val="18"/>
              </w:rPr>
              <w:t>1.施工方案符合设计或论证要求；2.支架搭设、拆除前交底无文字记录.3.搭设完成有验收记录；4.基础平实、承载力符合要求，扫地杆、垫板、排水符合要求；5.纵、横向扫地杆和水平拉杆须连续设置。</w:t>
            </w:r>
          </w:p>
        </w:tc>
        <w:tc>
          <w:tcPr>
            <w:tcW w:w="1050" w:type="dxa"/>
            <w:tcBorders>
              <w:top w:val="nil"/>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500</w:t>
            </w:r>
          </w:p>
        </w:tc>
      </w:tr>
      <w:tr>
        <w:tblPrEx>
          <w:tblCellMar>
            <w:top w:w="0" w:type="dxa"/>
            <w:left w:w="108" w:type="dxa"/>
            <w:bottom w:w="0" w:type="dxa"/>
            <w:right w:w="108" w:type="dxa"/>
          </w:tblCellMar>
        </w:tblPrEx>
        <w:trPr>
          <w:trHeight w:val="945" w:hRule="atLeast"/>
        </w:trPr>
        <w:tc>
          <w:tcPr>
            <w:tcW w:w="750"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b/>
                <w:bCs/>
                <w:color w:val="auto"/>
                <w:sz w:val="18"/>
                <w:szCs w:val="18"/>
              </w:rPr>
            </w:pPr>
          </w:p>
        </w:tc>
        <w:tc>
          <w:tcPr>
            <w:tcW w:w="707" w:type="dxa"/>
            <w:vMerge w:val="continue"/>
            <w:tcBorders>
              <w:top w:val="nil"/>
              <w:left w:val="nil"/>
              <w:bottom w:val="single" w:color="auto" w:sz="4" w:space="0"/>
              <w:right w:val="single" w:color="auto" w:sz="4" w:space="0"/>
            </w:tcBorders>
            <w:shd w:val="clear" w:color="auto" w:fill="auto"/>
            <w:noWrap w:val="0"/>
            <w:vAlign w:val="center"/>
          </w:tcPr>
          <w:p>
            <w:pPr>
              <w:widowControl/>
              <w:rPr>
                <w:rFonts w:hAnsi="宋体" w:cs="宋体"/>
                <w:b/>
                <w:bCs/>
                <w:color w:val="auto"/>
                <w:sz w:val="18"/>
                <w:szCs w:val="18"/>
              </w:rPr>
            </w:pPr>
          </w:p>
        </w:tc>
        <w:tc>
          <w:tcPr>
            <w:tcW w:w="460"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16</w:t>
            </w:r>
          </w:p>
        </w:tc>
        <w:tc>
          <w:tcPr>
            <w:tcW w:w="6995"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Ansi="宋体" w:cs="宋体"/>
                <w:color w:val="auto"/>
                <w:sz w:val="18"/>
                <w:szCs w:val="18"/>
              </w:rPr>
            </w:pPr>
            <w:r>
              <w:rPr>
                <w:rFonts w:hint="eastAsia" w:hAnsi="宋体" w:cs="宋体"/>
                <w:color w:val="auto"/>
                <w:sz w:val="18"/>
                <w:szCs w:val="18"/>
              </w:rPr>
              <w:t>支架稳定：1.宽高比符合设计要求；2.梁底、板底设置可调支托；3.按规范要求设置竖向剪刀撑或专用斜杆；4.对基础和架体进行变形监测；5.支撑龙骨失稳或使用木支撑；6）施工荷载均匀且不超过设计荷载。</w:t>
            </w:r>
          </w:p>
        </w:tc>
        <w:tc>
          <w:tcPr>
            <w:tcW w:w="1050"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500</w:t>
            </w:r>
          </w:p>
        </w:tc>
      </w:tr>
      <w:tr>
        <w:tblPrEx>
          <w:tblCellMar>
            <w:top w:w="0" w:type="dxa"/>
            <w:left w:w="108" w:type="dxa"/>
            <w:bottom w:w="0" w:type="dxa"/>
            <w:right w:w="108" w:type="dxa"/>
          </w:tblCellMar>
        </w:tblPrEx>
        <w:trPr>
          <w:trHeight w:val="702" w:hRule="atLeast"/>
        </w:trPr>
        <w:tc>
          <w:tcPr>
            <w:tcW w:w="750"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b/>
                <w:bCs/>
                <w:color w:val="auto"/>
                <w:sz w:val="18"/>
                <w:szCs w:val="18"/>
              </w:rPr>
            </w:pPr>
          </w:p>
        </w:tc>
        <w:tc>
          <w:tcPr>
            <w:tcW w:w="707" w:type="dxa"/>
            <w:vMerge w:val="restart"/>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b/>
                <w:bCs/>
                <w:color w:val="auto"/>
                <w:sz w:val="18"/>
                <w:szCs w:val="18"/>
              </w:rPr>
            </w:pPr>
            <w:r>
              <w:rPr>
                <w:rFonts w:hint="eastAsia" w:hAnsi="宋体" w:cs="宋体"/>
                <w:b/>
                <w:bCs/>
                <w:color w:val="auto"/>
                <w:sz w:val="18"/>
                <w:szCs w:val="18"/>
              </w:rPr>
              <w:t>安全生产</w:t>
            </w:r>
          </w:p>
        </w:tc>
        <w:tc>
          <w:tcPr>
            <w:tcW w:w="460"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17</w:t>
            </w:r>
          </w:p>
        </w:tc>
        <w:tc>
          <w:tcPr>
            <w:tcW w:w="6995" w:type="dxa"/>
            <w:tcBorders>
              <w:top w:val="single" w:color="auto" w:sz="4" w:space="0"/>
              <w:left w:val="nil"/>
              <w:bottom w:val="single" w:color="auto" w:sz="4" w:space="0"/>
              <w:right w:val="single" w:color="000000" w:sz="4" w:space="0"/>
            </w:tcBorders>
            <w:shd w:val="clear" w:color="000000" w:fill="FFFFFF"/>
            <w:noWrap w:val="0"/>
            <w:vAlign w:val="center"/>
          </w:tcPr>
          <w:p>
            <w:pPr>
              <w:widowControl/>
              <w:rPr>
                <w:rFonts w:hAnsi="宋体" w:cs="宋体"/>
                <w:color w:val="auto"/>
                <w:sz w:val="18"/>
                <w:szCs w:val="18"/>
              </w:rPr>
            </w:pPr>
            <w:r>
              <w:rPr>
                <w:rFonts w:hint="eastAsia" w:hAnsi="宋体" w:cs="宋体"/>
                <w:color w:val="auto"/>
                <w:sz w:val="18"/>
                <w:szCs w:val="18"/>
              </w:rPr>
              <w:t>1.进入现场人员必须佩戴安全帽；2.禁止高空抛物；3.在建工程内不得住人；4.施工用火、电焊须注意周围包括下部的易燃品保护;5.未经批准不得明火作业。</w:t>
            </w:r>
          </w:p>
        </w:tc>
        <w:tc>
          <w:tcPr>
            <w:tcW w:w="1050"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500</w:t>
            </w:r>
          </w:p>
        </w:tc>
      </w:tr>
      <w:tr>
        <w:tblPrEx>
          <w:tblCellMar>
            <w:top w:w="0" w:type="dxa"/>
            <w:left w:w="108" w:type="dxa"/>
            <w:bottom w:w="0" w:type="dxa"/>
            <w:right w:w="108" w:type="dxa"/>
          </w:tblCellMar>
        </w:tblPrEx>
        <w:trPr>
          <w:trHeight w:val="702" w:hRule="atLeast"/>
        </w:trPr>
        <w:tc>
          <w:tcPr>
            <w:tcW w:w="750"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b/>
                <w:bCs/>
                <w:color w:val="auto"/>
                <w:sz w:val="18"/>
                <w:szCs w:val="18"/>
              </w:rPr>
            </w:pPr>
          </w:p>
        </w:tc>
        <w:tc>
          <w:tcPr>
            <w:tcW w:w="707" w:type="dxa"/>
            <w:vMerge w:val="continue"/>
            <w:tcBorders>
              <w:top w:val="nil"/>
              <w:left w:val="nil"/>
              <w:bottom w:val="single" w:color="auto" w:sz="4" w:space="0"/>
              <w:right w:val="single" w:color="auto" w:sz="4" w:space="0"/>
            </w:tcBorders>
            <w:shd w:val="clear" w:color="auto" w:fill="auto"/>
            <w:noWrap w:val="0"/>
            <w:vAlign w:val="center"/>
          </w:tcPr>
          <w:p>
            <w:pPr>
              <w:widowControl/>
              <w:rPr>
                <w:rFonts w:hAnsi="宋体" w:cs="宋体"/>
                <w:b/>
                <w:bCs/>
                <w:color w:val="auto"/>
                <w:sz w:val="18"/>
                <w:szCs w:val="18"/>
              </w:rPr>
            </w:pPr>
          </w:p>
        </w:tc>
        <w:tc>
          <w:tcPr>
            <w:tcW w:w="460"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18</w:t>
            </w:r>
          </w:p>
        </w:tc>
        <w:tc>
          <w:tcPr>
            <w:tcW w:w="6995" w:type="dxa"/>
            <w:tcBorders>
              <w:top w:val="single" w:color="auto" w:sz="4" w:space="0"/>
              <w:left w:val="nil"/>
              <w:bottom w:val="single" w:color="auto" w:sz="4" w:space="0"/>
              <w:right w:val="single" w:color="000000" w:sz="4" w:space="0"/>
            </w:tcBorders>
            <w:shd w:val="clear" w:color="000000" w:fill="FFFFFF"/>
            <w:noWrap w:val="0"/>
            <w:vAlign w:val="center"/>
          </w:tcPr>
          <w:p>
            <w:pPr>
              <w:widowControl/>
              <w:rPr>
                <w:rFonts w:hAnsi="宋体" w:cs="宋体"/>
                <w:color w:val="auto"/>
                <w:sz w:val="18"/>
                <w:szCs w:val="18"/>
              </w:rPr>
            </w:pPr>
            <w:r>
              <w:rPr>
                <w:rFonts w:hint="eastAsia" w:hAnsi="宋体" w:cs="宋体"/>
                <w:color w:val="auto"/>
                <w:sz w:val="18"/>
                <w:szCs w:val="18"/>
              </w:rPr>
              <w:t>1.制定消防安全生产管理制度和措施；2.消防通道畅通；3.易燃材料分开堆放管理；4.消防水源设置合理；5.消防器材布置不合理或灭火器材失效；</w:t>
            </w:r>
          </w:p>
        </w:tc>
        <w:tc>
          <w:tcPr>
            <w:tcW w:w="1050"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500</w:t>
            </w:r>
          </w:p>
        </w:tc>
      </w:tr>
      <w:tr>
        <w:tblPrEx>
          <w:tblCellMar>
            <w:top w:w="0" w:type="dxa"/>
            <w:left w:w="108" w:type="dxa"/>
            <w:bottom w:w="0" w:type="dxa"/>
            <w:right w:w="108" w:type="dxa"/>
          </w:tblCellMar>
        </w:tblPrEx>
        <w:trPr>
          <w:trHeight w:val="702" w:hRule="atLeast"/>
        </w:trPr>
        <w:tc>
          <w:tcPr>
            <w:tcW w:w="750"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b/>
                <w:bCs/>
                <w:color w:val="auto"/>
                <w:sz w:val="18"/>
                <w:szCs w:val="18"/>
              </w:rPr>
            </w:pPr>
          </w:p>
        </w:tc>
        <w:tc>
          <w:tcPr>
            <w:tcW w:w="707" w:type="dxa"/>
            <w:vMerge w:val="restart"/>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b/>
                <w:bCs/>
                <w:color w:val="auto"/>
                <w:sz w:val="18"/>
                <w:szCs w:val="18"/>
              </w:rPr>
            </w:pPr>
            <w:r>
              <w:rPr>
                <w:rFonts w:hint="eastAsia" w:hAnsi="宋体" w:cs="宋体"/>
                <w:b/>
                <w:bCs/>
                <w:color w:val="auto"/>
                <w:sz w:val="18"/>
                <w:szCs w:val="18"/>
              </w:rPr>
              <w:t>文明施工</w:t>
            </w:r>
          </w:p>
        </w:tc>
        <w:tc>
          <w:tcPr>
            <w:tcW w:w="460"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19</w:t>
            </w:r>
          </w:p>
        </w:tc>
        <w:tc>
          <w:tcPr>
            <w:tcW w:w="6995"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Ansi="宋体" w:cs="宋体"/>
                <w:color w:val="auto"/>
                <w:sz w:val="18"/>
                <w:szCs w:val="18"/>
              </w:rPr>
            </w:pPr>
            <w:r>
              <w:rPr>
                <w:rFonts w:hint="eastAsia" w:hAnsi="宋体" w:cs="宋体"/>
                <w:color w:val="auto"/>
                <w:sz w:val="18"/>
                <w:szCs w:val="18"/>
              </w:rPr>
              <w:t>1.围挡按要求设置（1.8m/2.5m)；2.进口处设置大门、门卫室；3.现场按要求设置“五牌一图”；4.危险源公示牌、楼栋号标识牌；5.现场办公、生活区、施工区分离；。</w:t>
            </w:r>
          </w:p>
        </w:tc>
        <w:tc>
          <w:tcPr>
            <w:tcW w:w="1050"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500</w:t>
            </w:r>
          </w:p>
        </w:tc>
      </w:tr>
      <w:tr>
        <w:tblPrEx>
          <w:tblCellMar>
            <w:top w:w="0" w:type="dxa"/>
            <w:left w:w="108" w:type="dxa"/>
            <w:bottom w:w="0" w:type="dxa"/>
            <w:right w:w="108" w:type="dxa"/>
          </w:tblCellMar>
        </w:tblPrEx>
        <w:trPr>
          <w:trHeight w:val="799" w:hRule="atLeast"/>
        </w:trPr>
        <w:tc>
          <w:tcPr>
            <w:tcW w:w="750"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b/>
                <w:bCs/>
                <w:color w:val="auto"/>
                <w:sz w:val="18"/>
                <w:szCs w:val="18"/>
              </w:rPr>
            </w:pPr>
          </w:p>
        </w:tc>
        <w:tc>
          <w:tcPr>
            <w:tcW w:w="707" w:type="dxa"/>
            <w:vMerge w:val="continue"/>
            <w:tcBorders>
              <w:top w:val="nil"/>
              <w:left w:val="nil"/>
              <w:bottom w:val="single" w:color="auto" w:sz="4" w:space="0"/>
              <w:right w:val="single" w:color="auto" w:sz="4" w:space="0"/>
            </w:tcBorders>
            <w:shd w:val="clear" w:color="auto" w:fill="auto"/>
            <w:noWrap w:val="0"/>
            <w:vAlign w:val="center"/>
          </w:tcPr>
          <w:p>
            <w:pPr>
              <w:widowControl/>
              <w:rPr>
                <w:rFonts w:hAnsi="宋体" w:cs="宋体"/>
                <w:b/>
                <w:bCs/>
                <w:color w:val="auto"/>
                <w:sz w:val="18"/>
                <w:szCs w:val="18"/>
              </w:rPr>
            </w:pPr>
          </w:p>
        </w:tc>
        <w:tc>
          <w:tcPr>
            <w:tcW w:w="460"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20</w:t>
            </w:r>
          </w:p>
        </w:tc>
        <w:tc>
          <w:tcPr>
            <w:tcW w:w="6995"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Ansi="宋体" w:cs="宋体"/>
                <w:color w:val="auto"/>
                <w:sz w:val="18"/>
                <w:szCs w:val="18"/>
              </w:rPr>
            </w:pPr>
            <w:r>
              <w:rPr>
                <w:rFonts w:hint="eastAsia" w:hAnsi="宋体" w:cs="宋体"/>
                <w:color w:val="auto"/>
                <w:sz w:val="18"/>
                <w:szCs w:val="18"/>
              </w:rPr>
              <w:t>1.场内道路和平整，无积水、无污水、无粉尘；2.成品、半成品、材料按要求堆放整齐；3.搞好环境卫生、定点存放垃圾，施药除“四害”4.材料区按总平面布置并硬化；5.易爆品分类贮藏在专用仓库。</w:t>
            </w:r>
          </w:p>
        </w:tc>
        <w:tc>
          <w:tcPr>
            <w:tcW w:w="1050"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500</w:t>
            </w:r>
          </w:p>
        </w:tc>
      </w:tr>
    </w:tbl>
    <w:p>
      <w:pPr>
        <w:spacing w:line="360" w:lineRule="auto"/>
        <w:ind w:left="-540" w:leftChars="-257" w:firstLine="371" w:firstLineChars="177"/>
        <w:rPr>
          <w:rFonts w:hAnsi="宋体"/>
          <w:color w:val="auto"/>
        </w:rPr>
      </w:pPr>
    </w:p>
    <w:p>
      <w:pPr>
        <w:widowControl/>
        <w:rPr>
          <w:rFonts w:hAnsi="宋体"/>
          <w:color w:val="auto"/>
        </w:rPr>
      </w:pPr>
      <w:r>
        <w:rPr>
          <w:rFonts w:hAnsi="宋体"/>
          <w:color w:val="auto"/>
        </w:rPr>
        <w:br w:type="page"/>
      </w:r>
    </w:p>
    <w:p>
      <w:pPr>
        <w:jc w:val="center"/>
        <w:rPr>
          <w:rFonts w:hAnsi="宋体"/>
          <w:b/>
          <w:color w:val="auto"/>
          <w:sz w:val="36"/>
          <w:szCs w:val="36"/>
        </w:rPr>
      </w:pPr>
      <w:r>
        <w:rPr>
          <w:rFonts w:hint="eastAsia" w:hAnsi="宋体"/>
          <w:b/>
          <w:color w:val="auto"/>
          <w:sz w:val="36"/>
          <w:szCs w:val="36"/>
        </w:rPr>
        <w:t>分包单位</w:t>
      </w:r>
      <w:r>
        <w:rPr>
          <w:rFonts w:hAnsi="宋体"/>
          <w:b/>
          <w:color w:val="auto"/>
          <w:sz w:val="36"/>
          <w:szCs w:val="36"/>
        </w:rPr>
        <w:t>日常行为管理条例</w:t>
      </w:r>
    </w:p>
    <w:p>
      <w:pPr>
        <w:numPr>
          <w:ilvl w:val="0"/>
          <w:numId w:val="6"/>
        </w:numPr>
        <w:spacing w:line="360" w:lineRule="auto"/>
        <w:ind w:left="0" w:firstLine="357"/>
        <w:rPr>
          <w:rFonts w:ascii="宋体" w:hAnsi="宋体"/>
          <w:color w:val="auto"/>
          <w:sz w:val="24"/>
        </w:rPr>
      </w:pPr>
      <w:r>
        <w:rPr>
          <w:rFonts w:hint="eastAsia" w:ascii="宋体" w:hAnsi="宋体"/>
          <w:color w:val="auto"/>
          <w:sz w:val="24"/>
        </w:rPr>
        <w:t>项目负责人定期不定时参加甲方组织召开的各类会议，包括：合同的会、每日碰头会、进度质量安全专题协调会、现场工作会等。如果不能参加，应提前2小时向甲方负责人请假，若未及时请假无故缺席会议，第一次处以警告，后续有故缺席，每次予以500元处罚。</w:t>
      </w:r>
    </w:p>
    <w:p>
      <w:pPr>
        <w:numPr>
          <w:ilvl w:val="0"/>
          <w:numId w:val="6"/>
        </w:numPr>
        <w:spacing w:line="360" w:lineRule="auto"/>
        <w:ind w:left="0" w:firstLine="357"/>
        <w:rPr>
          <w:rFonts w:ascii="宋体" w:hAnsi="宋体"/>
          <w:color w:val="auto"/>
          <w:sz w:val="24"/>
        </w:rPr>
      </w:pPr>
      <w:r>
        <w:rPr>
          <w:rFonts w:hint="eastAsia" w:ascii="宋体" w:hAnsi="宋体"/>
          <w:color w:val="auto"/>
          <w:sz w:val="24"/>
        </w:rPr>
        <w:t>项目开工2天前，乙方应将拟投入于本项目的管理人员报甲方确认，无故不上报，每迟一天处以1000元经济处罚；拟更换本项目负责人，应于更换前7天以书面形式报甲方确认，在甲方未明确下私自更换项目负责人的，每次视情况处罚。</w:t>
      </w:r>
    </w:p>
    <w:p>
      <w:pPr>
        <w:numPr>
          <w:ilvl w:val="0"/>
          <w:numId w:val="6"/>
        </w:numPr>
        <w:spacing w:line="360" w:lineRule="auto"/>
        <w:ind w:left="0" w:firstLine="357"/>
        <w:rPr>
          <w:rFonts w:ascii="宋体" w:hAnsi="宋体"/>
          <w:color w:val="auto"/>
          <w:sz w:val="24"/>
        </w:rPr>
      </w:pPr>
      <w:r>
        <w:rPr>
          <w:rFonts w:hint="eastAsia" w:ascii="宋体" w:hAnsi="宋体"/>
          <w:color w:val="auto"/>
          <w:sz w:val="24"/>
        </w:rPr>
        <w:t>项目负责人应在施工期间常驻项目。遇节假日、公司事宜等事项需离开项目时，应以书面形式提前告知甲方现场负责人，并经同意后方能离开项目现场。若未及时告知，第一次处以警告，若乙方有再次发生这种问题，每次予以500元处罚。</w:t>
      </w:r>
    </w:p>
    <w:p>
      <w:pPr>
        <w:numPr>
          <w:ilvl w:val="0"/>
          <w:numId w:val="6"/>
        </w:numPr>
        <w:spacing w:line="360" w:lineRule="auto"/>
        <w:ind w:left="0" w:firstLine="357"/>
        <w:rPr>
          <w:rFonts w:ascii="宋体" w:hAnsi="宋体"/>
          <w:color w:val="auto"/>
          <w:sz w:val="24"/>
        </w:rPr>
      </w:pPr>
      <w:r>
        <w:rPr>
          <w:rFonts w:hint="eastAsia" w:ascii="宋体" w:hAnsi="宋体"/>
          <w:color w:val="auto"/>
          <w:sz w:val="24"/>
        </w:rPr>
        <w:t>项目应每周组织专项的安全、质量巡查，并以书面形式报甲方项目部。累计2次及以上未上报巡查报告每次按情况罚款予以500元处罚。</w:t>
      </w:r>
    </w:p>
    <w:p>
      <w:pPr>
        <w:numPr>
          <w:ilvl w:val="0"/>
          <w:numId w:val="6"/>
        </w:numPr>
        <w:spacing w:line="360" w:lineRule="auto"/>
        <w:ind w:left="0" w:firstLine="357"/>
        <w:rPr>
          <w:rFonts w:ascii="宋体" w:hAnsi="宋体"/>
          <w:color w:val="auto"/>
          <w:sz w:val="24"/>
        </w:rPr>
      </w:pPr>
      <w:r>
        <w:rPr>
          <w:rFonts w:hint="eastAsia" w:ascii="宋体" w:hAnsi="宋体"/>
          <w:color w:val="auto"/>
          <w:sz w:val="24"/>
        </w:rPr>
        <w:t>遇节假日，重大危害性天气等情况时，乙方应安排相应值班人员在项目现场值班并监督到位，经甲方项目部确认后方能离开值班岗位。因值班不到位原因，给项目带来损失的，对值班人员每次予以1000元处罚。</w:t>
      </w:r>
    </w:p>
    <w:p>
      <w:pPr>
        <w:spacing w:line="360" w:lineRule="auto"/>
        <w:ind w:left="-540" w:leftChars="-257" w:firstLine="371" w:firstLineChars="177"/>
        <w:rPr>
          <w:rFonts w:hAnsi="宋体"/>
          <w:color w:val="auto"/>
          <w:szCs w:val="20"/>
        </w:rPr>
      </w:pPr>
    </w:p>
    <w:p>
      <w:pPr>
        <w:widowControl/>
        <w:rPr>
          <w:rFonts w:hAnsi="宋体"/>
          <w:color w:val="auto"/>
          <w:szCs w:val="20"/>
        </w:rPr>
      </w:pPr>
      <w:r>
        <w:rPr>
          <w:rFonts w:hAnsi="宋体"/>
          <w:color w:val="auto"/>
          <w:szCs w:val="20"/>
        </w:rPr>
        <w:br w:type="page"/>
      </w:r>
    </w:p>
    <w:tbl>
      <w:tblPr>
        <w:tblStyle w:val="15"/>
        <w:tblW w:w="0" w:type="auto"/>
        <w:tblInd w:w="93" w:type="dxa"/>
        <w:tblLayout w:type="fixed"/>
        <w:tblCellMar>
          <w:top w:w="0" w:type="dxa"/>
          <w:left w:w="108" w:type="dxa"/>
          <w:bottom w:w="0" w:type="dxa"/>
          <w:right w:w="108" w:type="dxa"/>
        </w:tblCellMar>
      </w:tblPr>
      <w:tblGrid>
        <w:gridCol w:w="728"/>
        <w:gridCol w:w="509"/>
        <w:gridCol w:w="396"/>
        <w:gridCol w:w="7528"/>
        <w:gridCol w:w="708"/>
      </w:tblGrid>
      <w:tr>
        <w:tblPrEx>
          <w:tblCellMar>
            <w:top w:w="0" w:type="dxa"/>
            <w:left w:w="108" w:type="dxa"/>
            <w:bottom w:w="0" w:type="dxa"/>
            <w:right w:w="108" w:type="dxa"/>
          </w:tblCellMar>
        </w:tblPrEx>
        <w:trPr>
          <w:trHeight w:val="499" w:hRule="atLeast"/>
        </w:trPr>
        <w:tc>
          <w:tcPr>
            <w:tcW w:w="9869" w:type="dxa"/>
            <w:gridSpan w:val="5"/>
            <w:tcBorders>
              <w:top w:val="nil"/>
              <w:left w:val="nil"/>
              <w:bottom w:val="nil"/>
              <w:right w:val="nil"/>
            </w:tcBorders>
            <w:shd w:val="clear" w:color="000000" w:fill="FFFFFF"/>
            <w:noWrap w:val="0"/>
            <w:vAlign w:val="top"/>
          </w:tcPr>
          <w:p>
            <w:pPr>
              <w:widowControl/>
              <w:jc w:val="center"/>
              <w:rPr>
                <w:rFonts w:hAnsi="宋体" w:cs="宋体"/>
                <w:b/>
                <w:bCs/>
                <w:color w:val="auto"/>
                <w:sz w:val="36"/>
                <w:szCs w:val="36"/>
              </w:rPr>
            </w:pPr>
            <w:r>
              <w:rPr>
                <w:rFonts w:hint="eastAsia" w:hAnsi="宋体" w:cs="宋体"/>
                <w:b/>
                <w:bCs/>
                <w:color w:val="auto"/>
                <w:sz w:val="36"/>
                <w:szCs w:val="36"/>
              </w:rPr>
              <w:t>基础、结构工程质量管理细则</w:t>
            </w:r>
          </w:p>
        </w:tc>
      </w:tr>
      <w:tr>
        <w:tblPrEx>
          <w:tblCellMar>
            <w:top w:w="0" w:type="dxa"/>
            <w:left w:w="108" w:type="dxa"/>
            <w:bottom w:w="0" w:type="dxa"/>
            <w:right w:w="108" w:type="dxa"/>
          </w:tblCellMar>
        </w:tblPrEx>
        <w:trPr>
          <w:trHeight w:val="540" w:hRule="atLeast"/>
        </w:trPr>
        <w:tc>
          <w:tcPr>
            <w:tcW w:w="728"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检查项目</w:t>
            </w:r>
          </w:p>
        </w:tc>
        <w:tc>
          <w:tcPr>
            <w:tcW w:w="905" w:type="dxa"/>
            <w:gridSpan w:val="2"/>
            <w:tcBorders>
              <w:top w:val="single" w:color="auto" w:sz="4" w:space="0"/>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编号</w:t>
            </w:r>
          </w:p>
        </w:tc>
        <w:tc>
          <w:tcPr>
            <w:tcW w:w="7528" w:type="dxa"/>
            <w:tcBorders>
              <w:top w:val="single" w:color="auto" w:sz="4" w:space="0"/>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工程质量管控要求</w:t>
            </w:r>
          </w:p>
        </w:tc>
        <w:tc>
          <w:tcPr>
            <w:tcW w:w="708" w:type="dxa"/>
            <w:tcBorders>
              <w:top w:val="single" w:color="auto" w:sz="4" w:space="0"/>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罚款金额/次</w:t>
            </w:r>
          </w:p>
        </w:tc>
      </w:tr>
      <w:tr>
        <w:tblPrEx>
          <w:tblCellMar>
            <w:top w:w="0" w:type="dxa"/>
            <w:left w:w="108" w:type="dxa"/>
            <w:bottom w:w="0" w:type="dxa"/>
            <w:right w:w="108" w:type="dxa"/>
          </w:tblCellMar>
        </w:tblPrEx>
        <w:trPr>
          <w:trHeight w:val="1399" w:hRule="atLeast"/>
        </w:trPr>
        <w:tc>
          <w:tcPr>
            <w:tcW w:w="728" w:type="dxa"/>
            <w:vMerge w:val="restart"/>
            <w:tcBorders>
              <w:top w:val="nil"/>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基础工程</w:t>
            </w:r>
          </w:p>
        </w:tc>
        <w:tc>
          <w:tcPr>
            <w:tcW w:w="509" w:type="dxa"/>
            <w:vMerge w:val="restart"/>
            <w:tcBorders>
              <w:top w:val="nil"/>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hAnsi="宋体" w:eastAsia="宋体" w:cs="宋体"/>
                <w:color w:val="auto"/>
                <w:sz w:val="18"/>
                <w:szCs w:val="18"/>
                <w:lang w:eastAsia="zh-CN"/>
              </w:rPr>
            </w:pPr>
            <w:r>
              <w:rPr>
                <w:rFonts w:hint="eastAsia" w:hAnsi="宋体" w:cs="宋体"/>
                <w:color w:val="auto"/>
                <w:sz w:val="18"/>
                <w:szCs w:val="18"/>
              </w:rPr>
              <w:t>开挖及</w:t>
            </w:r>
          </w:p>
          <w:p>
            <w:pPr>
              <w:widowControl/>
              <w:jc w:val="center"/>
              <w:rPr>
                <w:rFonts w:hAnsi="宋体" w:cs="宋体"/>
                <w:color w:val="auto"/>
                <w:sz w:val="18"/>
                <w:szCs w:val="18"/>
              </w:rPr>
            </w:pPr>
            <w:r>
              <w:rPr>
                <w:rFonts w:hint="eastAsia" w:hAnsi="宋体" w:cs="宋体"/>
                <w:color w:val="auto"/>
                <w:sz w:val="18"/>
                <w:szCs w:val="18"/>
              </w:rPr>
              <w:t>回填</w:t>
            </w:r>
          </w:p>
        </w:tc>
        <w:tc>
          <w:tcPr>
            <w:tcW w:w="396"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1</w:t>
            </w:r>
          </w:p>
        </w:tc>
        <w:tc>
          <w:tcPr>
            <w:tcW w:w="7528"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int="eastAsia" w:hAnsi="宋体" w:eastAsia="宋体" w:cs="宋体"/>
                <w:color w:val="auto"/>
                <w:sz w:val="18"/>
                <w:szCs w:val="18"/>
                <w:lang w:eastAsia="zh-CN"/>
              </w:rPr>
            </w:pPr>
            <w:r>
              <w:rPr>
                <w:rFonts w:hint="eastAsia" w:hAnsi="宋体" w:cs="宋体"/>
                <w:color w:val="auto"/>
                <w:sz w:val="18"/>
                <w:szCs w:val="18"/>
              </w:rPr>
              <w:t>土方开挖时应有防止附近已有建筑物或构筑物、道路、管线等发生下沉和变形措施；</w:t>
            </w:r>
          </w:p>
          <w:p>
            <w:pPr>
              <w:widowControl/>
              <w:rPr>
                <w:rFonts w:hAnsi="宋体" w:cs="宋体"/>
                <w:color w:val="auto"/>
                <w:sz w:val="18"/>
                <w:szCs w:val="18"/>
              </w:rPr>
            </w:pPr>
            <w:r>
              <w:rPr>
                <w:rFonts w:hint="eastAsia" w:hAnsi="宋体" w:cs="宋体"/>
                <w:color w:val="auto"/>
                <w:sz w:val="18"/>
                <w:szCs w:val="18"/>
              </w:rPr>
              <w:t>土方施工前应作好施工区域内临时排水系统，阻止场外水流入施工场地，基坑（槽）；                                                                             结构施工时应采用集水坑降水、井点降水等措施降低地下水位。</w:t>
            </w:r>
          </w:p>
        </w:tc>
        <w:tc>
          <w:tcPr>
            <w:tcW w:w="708"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1000</w:t>
            </w:r>
          </w:p>
        </w:tc>
      </w:tr>
      <w:tr>
        <w:tblPrEx>
          <w:tblCellMar>
            <w:top w:w="0" w:type="dxa"/>
            <w:left w:w="108" w:type="dxa"/>
            <w:bottom w:w="0" w:type="dxa"/>
            <w:right w:w="108" w:type="dxa"/>
          </w:tblCellMar>
        </w:tblPrEx>
        <w:trPr>
          <w:trHeight w:val="720" w:hRule="atLeast"/>
        </w:trPr>
        <w:tc>
          <w:tcPr>
            <w:tcW w:w="72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color w:val="auto"/>
                <w:sz w:val="18"/>
                <w:szCs w:val="18"/>
              </w:rPr>
            </w:pPr>
          </w:p>
        </w:tc>
        <w:tc>
          <w:tcPr>
            <w:tcW w:w="509"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color w:val="auto"/>
                <w:sz w:val="18"/>
                <w:szCs w:val="18"/>
              </w:rPr>
            </w:pPr>
          </w:p>
        </w:tc>
        <w:tc>
          <w:tcPr>
            <w:tcW w:w="396"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2</w:t>
            </w:r>
          </w:p>
        </w:tc>
        <w:tc>
          <w:tcPr>
            <w:tcW w:w="7528"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Ansi="宋体" w:cs="宋体"/>
                <w:color w:val="auto"/>
                <w:sz w:val="18"/>
                <w:szCs w:val="18"/>
              </w:rPr>
            </w:pPr>
            <w:r>
              <w:rPr>
                <w:rFonts w:hint="eastAsia" w:hAnsi="宋体" w:cs="宋体"/>
                <w:color w:val="auto"/>
                <w:sz w:val="18"/>
                <w:szCs w:val="18"/>
              </w:rPr>
              <w:t>填土方必须分层夯压密实并清除杂物、积水、淤泥，无任何有机物（如碎模板)等。</w:t>
            </w:r>
          </w:p>
        </w:tc>
        <w:tc>
          <w:tcPr>
            <w:tcW w:w="708"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500</w:t>
            </w:r>
          </w:p>
        </w:tc>
      </w:tr>
      <w:tr>
        <w:tblPrEx>
          <w:tblCellMar>
            <w:top w:w="0" w:type="dxa"/>
            <w:left w:w="108" w:type="dxa"/>
            <w:bottom w:w="0" w:type="dxa"/>
            <w:right w:w="108" w:type="dxa"/>
          </w:tblCellMar>
        </w:tblPrEx>
        <w:trPr>
          <w:trHeight w:val="540" w:hRule="atLeast"/>
        </w:trPr>
        <w:tc>
          <w:tcPr>
            <w:tcW w:w="72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color w:val="auto"/>
                <w:sz w:val="18"/>
                <w:szCs w:val="18"/>
              </w:rPr>
            </w:pPr>
          </w:p>
        </w:tc>
        <w:tc>
          <w:tcPr>
            <w:tcW w:w="509"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color w:val="auto"/>
                <w:sz w:val="18"/>
                <w:szCs w:val="18"/>
              </w:rPr>
            </w:pPr>
          </w:p>
        </w:tc>
        <w:tc>
          <w:tcPr>
            <w:tcW w:w="396"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3</w:t>
            </w:r>
          </w:p>
        </w:tc>
        <w:tc>
          <w:tcPr>
            <w:tcW w:w="7528"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Ansi="宋体" w:cs="宋体"/>
                <w:color w:val="auto"/>
                <w:sz w:val="18"/>
                <w:szCs w:val="18"/>
              </w:rPr>
            </w:pPr>
            <w:r>
              <w:rPr>
                <w:rFonts w:hint="eastAsia" w:hAnsi="宋体" w:cs="宋体"/>
                <w:color w:val="auto"/>
                <w:sz w:val="18"/>
                <w:szCs w:val="18"/>
              </w:rPr>
              <w:t>边坡外回填前，若有深埋的化粪池，应先施工完成后再回填土；                                        边坡回填土完成后，要用压路机压实后，再开挖安装室外给排水电气管网。</w:t>
            </w:r>
          </w:p>
        </w:tc>
        <w:tc>
          <w:tcPr>
            <w:tcW w:w="708"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500</w:t>
            </w:r>
          </w:p>
        </w:tc>
      </w:tr>
      <w:tr>
        <w:tblPrEx>
          <w:tblCellMar>
            <w:top w:w="0" w:type="dxa"/>
            <w:left w:w="108" w:type="dxa"/>
            <w:bottom w:w="0" w:type="dxa"/>
            <w:right w:w="108" w:type="dxa"/>
          </w:tblCellMar>
        </w:tblPrEx>
        <w:trPr>
          <w:trHeight w:val="582" w:hRule="atLeast"/>
        </w:trPr>
        <w:tc>
          <w:tcPr>
            <w:tcW w:w="72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color w:val="auto"/>
                <w:sz w:val="18"/>
                <w:szCs w:val="18"/>
              </w:rPr>
            </w:pPr>
          </w:p>
        </w:tc>
        <w:tc>
          <w:tcPr>
            <w:tcW w:w="509"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color w:val="auto"/>
                <w:sz w:val="18"/>
                <w:szCs w:val="18"/>
              </w:rPr>
            </w:pPr>
          </w:p>
        </w:tc>
        <w:tc>
          <w:tcPr>
            <w:tcW w:w="396"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4</w:t>
            </w:r>
          </w:p>
        </w:tc>
        <w:tc>
          <w:tcPr>
            <w:tcW w:w="7528"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Ansi="宋体" w:cs="宋体"/>
                <w:color w:val="auto"/>
                <w:sz w:val="18"/>
                <w:szCs w:val="18"/>
              </w:rPr>
            </w:pPr>
            <w:r>
              <w:rPr>
                <w:rFonts w:hint="eastAsia" w:hAnsi="宋体" w:cs="宋体"/>
                <w:color w:val="auto"/>
                <w:sz w:val="18"/>
                <w:szCs w:val="18"/>
              </w:rPr>
              <w:t>钢筋网喷射砼施工时，钢筋网需在坡面喷射一层砼后铺设，采用双层钢筋网时，第二层钢筋网应在第一层钢筋网被砼覆盖后铺设；锚杆尾端及钢筋网等不得外露。</w:t>
            </w:r>
          </w:p>
        </w:tc>
        <w:tc>
          <w:tcPr>
            <w:tcW w:w="708"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1000</w:t>
            </w:r>
          </w:p>
        </w:tc>
      </w:tr>
      <w:tr>
        <w:tblPrEx>
          <w:tblCellMar>
            <w:top w:w="0" w:type="dxa"/>
            <w:left w:w="108" w:type="dxa"/>
            <w:bottom w:w="0" w:type="dxa"/>
            <w:right w:w="108" w:type="dxa"/>
          </w:tblCellMar>
        </w:tblPrEx>
        <w:trPr>
          <w:trHeight w:val="540" w:hRule="atLeast"/>
        </w:trPr>
        <w:tc>
          <w:tcPr>
            <w:tcW w:w="72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color w:val="auto"/>
                <w:sz w:val="18"/>
                <w:szCs w:val="18"/>
              </w:rPr>
            </w:pPr>
          </w:p>
        </w:tc>
        <w:tc>
          <w:tcPr>
            <w:tcW w:w="509" w:type="dxa"/>
            <w:vMerge w:val="restart"/>
            <w:tcBorders>
              <w:top w:val="nil"/>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　</w:t>
            </w:r>
          </w:p>
        </w:tc>
        <w:tc>
          <w:tcPr>
            <w:tcW w:w="396"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5</w:t>
            </w:r>
          </w:p>
        </w:tc>
        <w:tc>
          <w:tcPr>
            <w:tcW w:w="7528"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Ansi="宋体" w:cs="宋体"/>
                <w:color w:val="auto"/>
                <w:sz w:val="18"/>
                <w:szCs w:val="18"/>
              </w:rPr>
            </w:pPr>
            <w:r>
              <w:rPr>
                <w:rFonts w:hint="eastAsia" w:hAnsi="宋体" w:cs="宋体"/>
                <w:color w:val="auto"/>
                <w:sz w:val="18"/>
                <w:szCs w:val="18"/>
              </w:rPr>
              <w:t>（1）土方开挖时应有防止附近已有建筑物或构筑物、道路、管线等发生下沉和变形的措施；（2）有科学、合理的降水方案。</w:t>
            </w:r>
          </w:p>
        </w:tc>
        <w:tc>
          <w:tcPr>
            <w:tcW w:w="708"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1000</w:t>
            </w:r>
          </w:p>
        </w:tc>
      </w:tr>
      <w:tr>
        <w:tblPrEx>
          <w:tblCellMar>
            <w:top w:w="0" w:type="dxa"/>
            <w:left w:w="108" w:type="dxa"/>
            <w:bottom w:w="0" w:type="dxa"/>
            <w:right w:w="108" w:type="dxa"/>
          </w:tblCellMar>
        </w:tblPrEx>
        <w:trPr>
          <w:trHeight w:val="559" w:hRule="atLeast"/>
        </w:trPr>
        <w:tc>
          <w:tcPr>
            <w:tcW w:w="72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color w:val="auto"/>
                <w:sz w:val="18"/>
                <w:szCs w:val="18"/>
              </w:rPr>
            </w:pPr>
          </w:p>
        </w:tc>
        <w:tc>
          <w:tcPr>
            <w:tcW w:w="509"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color w:val="auto"/>
                <w:sz w:val="18"/>
                <w:szCs w:val="18"/>
              </w:rPr>
            </w:pPr>
          </w:p>
        </w:tc>
        <w:tc>
          <w:tcPr>
            <w:tcW w:w="396"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6</w:t>
            </w:r>
          </w:p>
        </w:tc>
        <w:tc>
          <w:tcPr>
            <w:tcW w:w="7528"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Ansi="宋体" w:cs="宋体"/>
                <w:color w:val="auto"/>
                <w:sz w:val="18"/>
                <w:szCs w:val="18"/>
              </w:rPr>
            </w:pPr>
            <w:r>
              <w:rPr>
                <w:rFonts w:hint="eastAsia" w:hAnsi="宋体" w:cs="宋体"/>
                <w:color w:val="auto"/>
                <w:sz w:val="18"/>
                <w:szCs w:val="18"/>
              </w:rPr>
              <w:t>已完成基坑（槽）不能被水浸泡，雨期施工挖方时，不能及时进行下一工序时，应留150~300㎜不挖，保证基底土质符合设计要求，原土严禁扰动。</w:t>
            </w:r>
          </w:p>
        </w:tc>
        <w:tc>
          <w:tcPr>
            <w:tcW w:w="708"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1000</w:t>
            </w:r>
          </w:p>
        </w:tc>
      </w:tr>
      <w:tr>
        <w:tblPrEx>
          <w:tblCellMar>
            <w:top w:w="0" w:type="dxa"/>
            <w:left w:w="108" w:type="dxa"/>
            <w:bottom w:w="0" w:type="dxa"/>
            <w:right w:w="108" w:type="dxa"/>
          </w:tblCellMar>
        </w:tblPrEx>
        <w:trPr>
          <w:trHeight w:val="559" w:hRule="atLeast"/>
        </w:trPr>
        <w:tc>
          <w:tcPr>
            <w:tcW w:w="72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color w:val="auto"/>
                <w:sz w:val="18"/>
                <w:szCs w:val="18"/>
              </w:rPr>
            </w:pPr>
          </w:p>
        </w:tc>
        <w:tc>
          <w:tcPr>
            <w:tcW w:w="509"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color w:val="auto"/>
                <w:sz w:val="18"/>
                <w:szCs w:val="18"/>
              </w:rPr>
            </w:pPr>
          </w:p>
        </w:tc>
        <w:tc>
          <w:tcPr>
            <w:tcW w:w="396"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7</w:t>
            </w:r>
          </w:p>
        </w:tc>
        <w:tc>
          <w:tcPr>
            <w:tcW w:w="7528"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Ansi="宋体" w:cs="宋体"/>
                <w:color w:val="auto"/>
                <w:sz w:val="18"/>
                <w:szCs w:val="18"/>
              </w:rPr>
            </w:pPr>
            <w:r>
              <w:rPr>
                <w:rFonts w:hint="eastAsia" w:hAnsi="宋体" w:cs="宋体"/>
                <w:color w:val="auto"/>
                <w:sz w:val="18"/>
                <w:szCs w:val="18"/>
              </w:rPr>
              <w:t>重锤夯实应在地下水位以上稍湿的土方施工，每层虚铺厚度以相当锤底直径，落锤距2.5~4.5m，最后下沉量为10~20㎜。</w:t>
            </w:r>
          </w:p>
        </w:tc>
        <w:tc>
          <w:tcPr>
            <w:tcW w:w="708"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500</w:t>
            </w:r>
          </w:p>
        </w:tc>
      </w:tr>
      <w:tr>
        <w:tblPrEx>
          <w:tblCellMar>
            <w:top w:w="0" w:type="dxa"/>
            <w:left w:w="108" w:type="dxa"/>
            <w:bottom w:w="0" w:type="dxa"/>
            <w:right w:w="108" w:type="dxa"/>
          </w:tblCellMar>
        </w:tblPrEx>
        <w:trPr>
          <w:trHeight w:val="540" w:hRule="atLeast"/>
        </w:trPr>
        <w:tc>
          <w:tcPr>
            <w:tcW w:w="72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color w:val="auto"/>
                <w:sz w:val="18"/>
                <w:szCs w:val="18"/>
              </w:rPr>
            </w:pPr>
          </w:p>
        </w:tc>
        <w:tc>
          <w:tcPr>
            <w:tcW w:w="509"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color w:val="auto"/>
                <w:sz w:val="18"/>
                <w:szCs w:val="18"/>
              </w:rPr>
            </w:pPr>
          </w:p>
        </w:tc>
        <w:tc>
          <w:tcPr>
            <w:tcW w:w="396"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8</w:t>
            </w:r>
          </w:p>
        </w:tc>
        <w:tc>
          <w:tcPr>
            <w:tcW w:w="7528"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Ansi="宋体" w:cs="宋体"/>
                <w:color w:val="auto"/>
                <w:sz w:val="18"/>
                <w:szCs w:val="18"/>
              </w:rPr>
            </w:pPr>
            <w:r>
              <w:rPr>
                <w:rFonts w:hint="eastAsia" w:hAnsi="宋体" w:cs="宋体"/>
                <w:color w:val="auto"/>
                <w:sz w:val="18"/>
                <w:szCs w:val="18"/>
              </w:rPr>
              <w:t>高低基础施工时基土必须按要求放阶，保证基土稳定，距离过近应作支护防止高处基础底部空隙。</w:t>
            </w:r>
          </w:p>
        </w:tc>
        <w:tc>
          <w:tcPr>
            <w:tcW w:w="708"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500</w:t>
            </w:r>
          </w:p>
        </w:tc>
      </w:tr>
      <w:tr>
        <w:tblPrEx>
          <w:tblCellMar>
            <w:top w:w="0" w:type="dxa"/>
            <w:left w:w="108" w:type="dxa"/>
            <w:bottom w:w="0" w:type="dxa"/>
            <w:right w:w="108" w:type="dxa"/>
          </w:tblCellMar>
        </w:tblPrEx>
        <w:trPr>
          <w:trHeight w:val="1099" w:hRule="atLeast"/>
        </w:trPr>
        <w:tc>
          <w:tcPr>
            <w:tcW w:w="72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color w:val="auto"/>
                <w:sz w:val="18"/>
                <w:szCs w:val="18"/>
              </w:rPr>
            </w:pPr>
          </w:p>
        </w:tc>
        <w:tc>
          <w:tcPr>
            <w:tcW w:w="509" w:type="dxa"/>
            <w:vMerge w:val="restart"/>
            <w:tcBorders>
              <w:top w:val="nil"/>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桩基础</w:t>
            </w:r>
          </w:p>
        </w:tc>
        <w:tc>
          <w:tcPr>
            <w:tcW w:w="396"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11</w:t>
            </w:r>
          </w:p>
        </w:tc>
        <w:tc>
          <w:tcPr>
            <w:tcW w:w="7528"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Ansi="宋体" w:cs="宋体"/>
                <w:color w:val="auto"/>
                <w:sz w:val="18"/>
                <w:szCs w:val="18"/>
              </w:rPr>
            </w:pPr>
            <w:r>
              <w:rPr>
                <w:rFonts w:hint="eastAsia" w:hAnsi="宋体" w:cs="宋体"/>
                <w:color w:val="auto"/>
                <w:sz w:val="18"/>
                <w:szCs w:val="18"/>
              </w:rPr>
              <w:t xml:space="preserve">各种桩基础工程：（1）平面布线准确，桩的平面偏位值和垂直度必须符合设计要求；（2）桩顶入承台深度必须符合要求；（3）桩入承台钢筋锚固长度必须符合要求，锚入承台；抗拔桩内钢筋伸入承台砼；（4）预制管桩破桩必须用机械锯切桩，严禁用锤打破桩；其它桩均应机械凿除桩顶浮浆，要求桩顶平整。                                                                                                                   </w:t>
            </w:r>
          </w:p>
        </w:tc>
        <w:tc>
          <w:tcPr>
            <w:tcW w:w="708"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1000</w:t>
            </w:r>
          </w:p>
        </w:tc>
      </w:tr>
      <w:tr>
        <w:tblPrEx>
          <w:tblCellMar>
            <w:top w:w="0" w:type="dxa"/>
            <w:left w:w="108" w:type="dxa"/>
            <w:bottom w:w="0" w:type="dxa"/>
            <w:right w:w="108" w:type="dxa"/>
          </w:tblCellMar>
        </w:tblPrEx>
        <w:trPr>
          <w:trHeight w:val="1620" w:hRule="atLeast"/>
        </w:trPr>
        <w:tc>
          <w:tcPr>
            <w:tcW w:w="72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color w:val="auto"/>
                <w:sz w:val="18"/>
                <w:szCs w:val="18"/>
              </w:rPr>
            </w:pPr>
          </w:p>
        </w:tc>
        <w:tc>
          <w:tcPr>
            <w:tcW w:w="509"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color w:val="auto"/>
                <w:sz w:val="18"/>
                <w:szCs w:val="18"/>
              </w:rPr>
            </w:pPr>
          </w:p>
        </w:tc>
        <w:tc>
          <w:tcPr>
            <w:tcW w:w="396"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12</w:t>
            </w:r>
          </w:p>
        </w:tc>
        <w:tc>
          <w:tcPr>
            <w:tcW w:w="7528"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int="eastAsia" w:hAnsi="宋体" w:cs="宋体"/>
                <w:color w:val="auto"/>
                <w:sz w:val="18"/>
                <w:szCs w:val="18"/>
              </w:rPr>
            </w:pPr>
            <w:r>
              <w:rPr>
                <w:rFonts w:hint="eastAsia" w:hAnsi="宋体" w:cs="宋体"/>
                <w:color w:val="auto"/>
                <w:sz w:val="18"/>
                <w:szCs w:val="18"/>
              </w:rPr>
              <w:t>预制管桩：（1）桩身无残缺、裂纹；强度、规格、型号，符合设计要求；</w:t>
            </w:r>
          </w:p>
          <w:p>
            <w:pPr>
              <w:widowControl/>
              <w:numPr>
                <w:ilvl w:val="0"/>
                <w:numId w:val="7"/>
              </w:numPr>
              <w:rPr>
                <w:rFonts w:hint="eastAsia" w:hAnsi="宋体" w:cs="宋体"/>
                <w:color w:val="auto"/>
                <w:sz w:val="18"/>
                <w:szCs w:val="18"/>
              </w:rPr>
            </w:pPr>
            <w:r>
              <w:rPr>
                <w:rFonts w:hint="eastAsia" w:hAnsi="宋体" w:cs="宋体"/>
                <w:color w:val="auto"/>
                <w:sz w:val="18"/>
                <w:szCs w:val="18"/>
              </w:rPr>
              <w:t>打桩宜重锤低击，最后三阵锤每阵10击的平均贯入度不应大于设计数值；</w:t>
            </w:r>
          </w:p>
          <w:p>
            <w:pPr>
              <w:widowControl/>
              <w:numPr>
                <w:ilvl w:val="0"/>
                <w:numId w:val="0"/>
              </w:numPr>
              <w:rPr>
                <w:rFonts w:hAnsi="宋体" w:cs="宋体"/>
                <w:color w:val="auto"/>
                <w:sz w:val="18"/>
                <w:szCs w:val="18"/>
              </w:rPr>
            </w:pPr>
            <w:r>
              <w:rPr>
                <w:rFonts w:hint="eastAsia" w:hAnsi="宋体" w:cs="宋体"/>
                <w:color w:val="auto"/>
                <w:sz w:val="18"/>
                <w:szCs w:val="18"/>
              </w:rPr>
              <w:t>（3）桩尖必须符合设计要求；</w:t>
            </w:r>
          </w:p>
          <w:p>
            <w:pPr>
              <w:widowControl/>
              <w:numPr>
                <w:ilvl w:val="0"/>
                <w:numId w:val="0"/>
              </w:numPr>
              <w:rPr>
                <w:rFonts w:hint="eastAsia" w:hAnsi="宋体" w:cs="宋体"/>
                <w:color w:val="auto"/>
                <w:sz w:val="18"/>
                <w:szCs w:val="18"/>
              </w:rPr>
            </w:pPr>
            <w:r>
              <w:rPr>
                <w:rFonts w:hint="eastAsia" w:hAnsi="宋体" w:cs="宋体"/>
                <w:color w:val="auto"/>
                <w:sz w:val="18"/>
                <w:szCs w:val="18"/>
              </w:rPr>
              <w:t>（4）预制管桩桩底及桩芯砼浇筑完成后才能进入下道工序施工；</w:t>
            </w:r>
          </w:p>
          <w:p>
            <w:pPr>
              <w:widowControl/>
              <w:numPr>
                <w:ilvl w:val="0"/>
                <w:numId w:val="0"/>
              </w:numPr>
              <w:rPr>
                <w:rFonts w:hint="eastAsia" w:hAnsi="宋体" w:cs="宋体"/>
                <w:color w:val="auto"/>
                <w:sz w:val="18"/>
                <w:szCs w:val="18"/>
              </w:rPr>
            </w:pPr>
            <w:r>
              <w:rPr>
                <w:rFonts w:hint="eastAsia" w:hAnsi="宋体" w:cs="宋体"/>
                <w:color w:val="auto"/>
                <w:sz w:val="18"/>
                <w:szCs w:val="18"/>
              </w:rPr>
              <w:t>（5）抗拔桩钢筋需按设计留设，不得随意断开；</w:t>
            </w:r>
          </w:p>
          <w:p>
            <w:pPr>
              <w:widowControl/>
              <w:numPr>
                <w:ilvl w:val="0"/>
                <w:numId w:val="0"/>
              </w:numPr>
              <w:rPr>
                <w:rFonts w:hAnsi="宋体" w:cs="宋体"/>
                <w:color w:val="auto"/>
                <w:sz w:val="18"/>
                <w:szCs w:val="18"/>
              </w:rPr>
            </w:pPr>
            <w:r>
              <w:rPr>
                <w:rFonts w:hint="eastAsia" w:hAnsi="宋体" w:cs="宋体"/>
                <w:color w:val="auto"/>
                <w:sz w:val="18"/>
                <w:szCs w:val="18"/>
              </w:rPr>
              <w:t>（6）送桩留下的桩孔应立即回填或做好防护。</w:t>
            </w:r>
          </w:p>
        </w:tc>
        <w:tc>
          <w:tcPr>
            <w:tcW w:w="708"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1000</w:t>
            </w:r>
          </w:p>
        </w:tc>
      </w:tr>
      <w:tr>
        <w:tblPrEx>
          <w:tblCellMar>
            <w:top w:w="0" w:type="dxa"/>
            <w:left w:w="108" w:type="dxa"/>
            <w:bottom w:w="0" w:type="dxa"/>
            <w:right w:w="108" w:type="dxa"/>
          </w:tblCellMar>
        </w:tblPrEx>
        <w:trPr>
          <w:trHeight w:val="1350" w:hRule="atLeast"/>
        </w:trPr>
        <w:tc>
          <w:tcPr>
            <w:tcW w:w="72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color w:val="auto"/>
                <w:sz w:val="18"/>
                <w:szCs w:val="18"/>
              </w:rPr>
            </w:pPr>
          </w:p>
        </w:tc>
        <w:tc>
          <w:tcPr>
            <w:tcW w:w="509"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color w:val="auto"/>
                <w:sz w:val="18"/>
                <w:szCs w:val="18"/>
              </w:rPr>
            </w:pPr>
          </w:p>
        </w:tc>
        <w:tc>
          <w:tcPr>
            <w:tcW w:w="396"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14</w:t>
            </w:r>
          </w:p>
        </w:tc>
        <w:tc>
          <w:tcPr>
            <w:tcW w:w="7528"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Ansi="宋体" w:cs="宋体"/>
                <w:color w:val="auto"/>
                <w:sz w:val="18"/>
                <w:szCs w:val="18"/>
              </w:rPr>
            </w:pPr>
            <w:r>
              <w:rPr>
                <w:rFonts w:hint="eastAsia" w:hAnsi="宋体" w:cs="宋体"/>
                <w:color w:val="auto"/>
                <w:sz w:val="18"/>
                <w:szCs w:val="18"/>
              </w:rPr>
              <w:t xml:space="preserve">钻、冲孔桩：（1）钢套筒必须高于地面200mm；泥浆池除碴方便，泥浆比重大于1.2；（2）成孔桩底沉碴无杂质、颗粒硬度均匀、强度符合设计要求；且每小时进尺深度与设计岩层持力层基本相符合；（3）钢筋笼配筋、长度、入承台钢筋预留长度符合设计要求；（4）桩身砼强度、抽心强度均符合设计要求；（5）超前钻桩底岩石厚度大于3米。                                                                                                                                                                                                                                 </w:t>
            </w:r>
          </w:p>
        </w:tc>
        <w:tc>
          <w:tcPr>
            <w:tcW w:w="708"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1000</w:t>
            </w:r>
          </w:p>
        </w:tc>
      </w:tr>
      <w:tr>
        <w:tblPrEx>
          <w:tblCellMar>
            <w:top w:w="0" w:type="dxa"/>
            <w:left w:w="108" w:type="dxa"/>
            <w:bottom w:w="0" w:type="dxa"/>
            <w:right w:w="108" w:type="dxa"/>
          </w:tblCellMar>
        </w:tblPrEx>
        <w:trPr>
          <w:trHeight w:val="859" w:hRule="atLeast"/>
        </w:trPr>
        <w:tc>
          <w:tcPr>
            <w:tcW w:w="72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color w:val="auto"/>
                <w:sz w:val="18"/>
                <w:szCs w:val="18"/>
              </w:rPr>
            </w:pPr>
          </w:p>
        </w:tc>
        <w:tc>
          <w:tcPr>
            <w:tcW w:w="509"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color w:val="auto"/>
                <w:sz w:val="18"/>
                <w:szCs w:val="18"/>
              </w:rPr>
            </w:pPr>
          </w:p>
        </w:tc>
        <w:tc>
          <w:tcPr>
            <w:tcW w:w="396"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15</w:t>
            </w:r>
          </w:p>
        </w:tc>
        <w:tc>
          <w:tcPr>
            <w:tcW w:w="7528"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int="eastAsia" w:hAnsi="宋体" w:cs="宋体"/>
                <w:color w:val="auto"/>
                <w:sz w:val="18"/>
                <w:szCs w:val="18"/>
              </w:rPr>
            </w:pPr>
            <w:r>
              <w:rPr>
                <w:rFonts w:hint="eastAsia" w:hAnsi="宋体" w:cs="宋体"/>
                <w:color w:val="auto"/>
                <w:sz w:val="18"/>
                <w:szCs w:val="18"/>
              </w:rPr>
              <w:t>桩顶必须按设计要求锚入承台内；</w:t>
            </w:r>
          </w:p>
          <w:p>
            <w:pPr>
              <w:widowControl/>
              <w:rPr>
                <w:rFonts w:hAnsi="宋体" w:cs="宋体"/>
                <w:color w:val="auto"/>
                <w:sz w:val="18"/>
                <w:szCs w:val="18"/>
              </w:rPr>
            </w:pPr>
            <w:r>
              <w:rPr>
                <w:rFonts w:hint="eastAsia" w:hAnsi="宋体" w:cs="宋体"/>
                <w:color w:val="auto"/>
                <w:sz w:val="18"/>
                <w:szCs w:val="18"/>
              </w:rPr>
              <w:t>预制管桩长度低于设计要求时，可采用接桩，不允许擅自降低或加高承台；                                  其它桩若低于设计标高，必须加大承台厚度。</w:t>
            </w:r>
          </w:p>
        </w:tc>
        <w:tc>
          <w:tcPr>
            <w:tcW w:w="708"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1000</w:t>
            </w:r>
          </w:p>
        </w:tc>
      </w:tr>
      <w:tr>
        <w:tblPrEx>
          <w:tblCellMar>
            <w:top w:w="0" w:type="dxa"/>
            <w:left w:w="108" w:type="dxa"/>
            <w:bottom w:w="0" w:type="dxa"/>
            <w:right w:w="108" w:type="dxa"/>
          </w:tblCellMar>
        </w:tblPrEx>
        <w:trPr>
          <w:trHeight w:val="540" w:hRule="atLeast"/>
        </w:trPr>
        <w:tc>
          <w:tcPr>
            <w:tcW w:w="72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color w:val="auto"/>
                <w:sz w:val="18"/>
                <w:szCs w:val="18"/>
              </w:rPr>
            </w:pPr>
          </w:p>
        </w:tc>
        <w:tc>
          <w:tcPr>
            <w:tcW w:w="509"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color w:val="auto"/>
                <w:sz w:val="18"/>
                <w:szCs w:val="18"/>
              </w:rPr>
            </w:pPr>
          </w:p>
        </w:tc>
        <w:tc>
          <w:tcPr>
            <w:tcW w:w="396"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16</w:t>
            </w:r>
          </w:p>
        </w:tc>
        <w:tc>
          <w:tcPr>
            <w:tcW w:w="7528"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Ansi="宋体" w:cs="宋体"/>
                <w:color w:val="auto"/>
                <w:sz w:val="18"/>
                <w:szCs w:val="18"/>
              </w:rPr>
            </w:pPr>
            <w:r>
              <w:rPr>
                <w:rFonts w:hint="eastAsia" w:hAnsi="宋体" w:cs="宋体"/>
                <w:color w:val="auto"/>
                <w:sz w:val="18"/>
                <w:szCs w:val="18"/>
              </w:rPr>
              <w:t>承台垫层标高应符合设计要求，相同标高差不能超过20㎜，垫层基础土质必须夯实，垫层必须符合要求。</w:t>
            </w:r>
          </w:p>
        </w:tc>
        <w:tc>
          <w:tcPr>
            <w:tcW w:w="708"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500</w:t>
            </w:r>
          </w:p>
        </w:tc>
      </w:tr>
      <w:tr>
        <w:tblPrEx>
          <w:tblCellMar>
            <w:top w:w="0" w:type="dxa"/>
            <w:left w:w="108" w:type="dxa"/>
            <w:bottom w:w="0" w:type="dxa"/>
            <w:right w:w="108" w:type="dxa"/>
          </w:tblCellMar>
        </w:tblPrEx>
        <w:trPr>
          <w:trHeight w:val="540" w:hRule="atLeast"/>
        </w:trPr>
        <w:tc>
          <w:tcPr>
            <w:tcW w:w="72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color w:val="auto"/>
                <w:sz w:val="18"/>
                <w:szCs w:val="18"/>
              </w:rPr>
            </w:pPr>
          </w:p>
        </w:tc>
        <w:tc>
          <w:tcPr>
            <w:tcW w:w="509"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color w:val="auto"/>
                <w:sz w:val="18"/>
                <w:szCs w:val="18"/>
              </w:rPr>
            </w:pPr>
          </w:p>
        </w:tc>
        <w:tc>
          <w:tcPr>
            <w:tcW w:w="396"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17</w:t>
            </w:r>
          </w:p>
        </w:tc>
        <w:tc>
          <w:tcPr>
            <w:tcW w:w="7528"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Ansi="宋体" w:cs="宋体"/>
                <w:color w:val="auto"/>
                <w:sz w:val="18"/>
                <w:szCs w:val="18"/>
              </w:rPr>
            </w:pPr>
            <w:r>
              <w:rPr>
                <w:rFonts w:hint="eastAsia" w:hAnsi="宋体" w:cs="宋体"/>
                <w:color w:val="auto"/>
                <w:sz w:val="18"/>
                <w:szCs w:val="18"/>
              </w:rPr>
              <w:t>桩顶锚入承台的钢筋成45°～60°锚入承台内，承台顶、底标高必须符合设计要求。</w:t>
            </w:r>
          </w:p>
        </w:tc>
        <w:tc>
          <w:tcPr>
            <w:tcW w:w="708"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500</w:t>
            </w:r>
          </w:p>
        </w:tc>
      </w:tr>
      <w:tr>
        <w:tblPrEx>
          <w:tblCellMar>
            <w:top w:w="0" w:type="dxa"/>
            <w:left w:w="108" w:type="dxa"/>
            <w:bottom w:w="0" w:type="dxa"/>
            <w:right w:w="108" w:type="dxa"/>
          </w:tblCellMar>
        </w:tblPrEx>
        <w:trPr>
          <w:trHeight w:val="540" w:hRule="atLeast"/>
        </w:trPr>
        <w:tc>
          <w:tcPr>
            <w:tcW w:w="72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color w:val="auto"/>
                <w:sz w:val="18"/>
                <w:szCs w:val="18"/>
              </w:rPr>
            </w:pPr>
          </w:p>
        </w:tc>
        <w:tc>
          <w:tcPr>
            <w:tcW w:w="509"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color w:val="auto"/>
                <w:sz w:val="18"/>
                <w:szCs w:val="18"/>
              </w:rPr>
            </w:pPr>
          </w:p>
        </w:tc>
        <w:tc>
          <w:tcPr>
            <w:tcW w:w="396"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18</w:t>
            </w:r>
          </w:p>
        </w:tc>
        <w:tc>
          <w:tcPr>
            <w:tcW w:w="7528"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Ansi="宋体" w:cs="宋体"/>
                <w:color w:val="auto"/>
                <w:sz w:val="18"/>
                <w:szCs w:val="18"/>
              </w:rPr>
            </w:pPr>
            <w:r>
              <w:rPr>
                <w:rFonts w:hint="eastAsia" w:hAnsi="宋体" w:cs="宋体"/>
                <w:color w:val="auto"/>
                <w:sz w:val="18"/>
                <w:szCs w:val="18"/>
              </w:rPr>
              <w:t>灌注桩各工序应连续施工，钢筋笼放入泥浆后4小时内必须灌注砼，桩顶应高出设计标高，浮浆层应凿除。</w:t>
            </w:r>
          </w:p>
        </w:tc>
        <w:tc>
          <w:tcPr>
            <w:tcW w:w="708"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1000</w:t>
            </w:r>
          </w:p>
        </w:tc>
      </w:tr>
      <w:tr>
        <w:tblPrEx>
          <w:tblCellMar>
            <w:top w:w="0" w:type="dxa"/>
            <w:left w:w="108" w:type="dxa"/>
            <w:bottom w:w="0" w:type="dxa"/>
            <w:right w:w="108" w:type="dxa"/>
          </w:tblCellMar>
        </w:tblPrEx>
        <w:trPr>
          <w:trHeight w:val="342" w:hRule="atLeast"/>
        </w:trPr>
        <w:tc>
          <w:tcPr>
            <w:tcW w:w="72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color w:val="auto"/>
                <w:sz w:val="18"/>
                <w:szCs w:val="18"/>
              </w:rPr>
            </w:pPr>
          </w:p>
        </w:tc>
        <w:tc>
          <w:tcPr>
            <w:tcW w:w="509"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color w:val="auto"/>
                <w:sz w:val="18"/>
                <w:szCs w:val="18"/>
              </w:rPr>
            </w:pPr>
          </w:p>
        </w:tc>
        <w:tc>
          <w:tcPr>
            <w:tcW w:w="396"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19</w:t>
            </w:r>
          </w:p>
        </w:tc>
        <w:tc>
          <w:tcPr>
            <w:tcW w:w="7528"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Ansi="宋体" w:cs="宋体"/>
                <w:color w:val="auto"/>
                <w:sz w:val="18"/>
                <w:szCs w:val="18"/>
              </w:rPr>
            </w:pPr>
            <w:r>
              <w:rPr>
                <w:rFonts w:hint="eastAsia" w:hAnsi="宋体" w:cs="宋体"/>
                <w:color w:val="auto"/>
                <w:sz w:val="18"/>
                <w:szCs w:val="18"/>
              </w:rPr>
              <w:t>承台施工前应验收桩基，不允许未验收进入钢筋和模板工程后才发现桩偏位。</w:t>
            </w:r>
          </w:p>
        </w:tc>
        <w:tc>
          <w:tcPr>
            <w:tcW w:w="708"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1000</w:t>
            </w:r>
          </w:p>
        </w:tc>
      </w:tr>
      <w:tr>
        <w:tblPrEx>
          <w:tblCellMar>
            <w:top w:w="0" w:type="dxa"/>
            <w:left w:w="108" w:type="dxa"/>
            <w:bottom w:w="0" w:type="dxa"/>
            <w:right w:w="108" w:type="dxa"/>
          </w:tblCellMar>
        </w:tblPrEx>
        <w:trPr>
          <w:trHeight w:val="559" w:hRule="atLeast"/>
        </w:trPr>
        <w:tc>
          <w:tcPr>
            <w:tcW w:w="72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color w:val="auto"/>
                <w:sz w:val="18"/>
                <w:szCs w:val="18"/>
              </w:rPr>
            </w:pPr>
          </w:p>
        </w:tc>
        <w:tc>
          <w:tcPr>
            <w:tcW w:w="509"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color w:val="auto"/>
                <w:sz w:val="18"/>
                <w:szCs w:val="18"/>
              </w:rPr>
            </w:pPr>
          </w:p>
        </w:tc>
        <w:tc>
          <w:tcPr>
            <w:tcW w:w="396"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20</w:t>
            </w:r>
          </w:p>
        </w:tc>
        <w:tc>
          <w:tcPr>
            <w:tcW w:w="7528"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Ansi="宋体" w:cs="宋体"/>
                <w:color w:val="auto"/>
                <w:sz w:val="18"/>
                <w:szCs w:val="18"/>
              </w:rPr>
            </w:pPr>
            <w:r>
              <w:rPr>
                <w:rFonts w:hint="eastAsia" w:hAnsi="宋体" w:cs="宋体"/>
                <w:color w:val="auto"/>
                <w:sz w:val="18"/>
                <w:szCs w:val="18"/>
              </w:rPr>
              <w:t>干作业成孔的灌注桩必须制订防止缩孔和供氧等措施，放置钢筋笼前应测量孔内虚土厚度，每次浇灌砼高度不得大于1.5m，完成后孔应有安全围护措施。</w:t>
            </w:r>
          </w:p>
        </w:tc>
        <w:tc>
          <w:tcPr>
            <w:tcW w:w="708"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1000</w:t>
            </w:r>
          </w:p>
        </w:tc>
      </w:tr>
      <w:tr>
        <w:tblPrEx>
          <w:tblCellMar>
            <w:top w:w="0" w:type="dxa"/>
            <w:left w:w="108" w:type="dxa"/>
            <w:bottom w:w="0" w:type="dxa"/>
            <w:right w:w="108" w:type="dxa"/>
          </w:tblCellMar>
        </w:tblPrEx>
        <w:trPr>
          <w:trHeight w:val="559" w:hRule="atLeast"/>
        </w:trPr>
        <w:tc>
          <w:tcPr>
            <w:tcW w:w="728" w:type="dxa"/>
            <w:vMerge w:val="restart"/>
            <w:tcBorders>
              <w:top w:val="nil"/>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二、钢筋工程</w:t>
            </w:r>
          </w:p>
        </w:tc>
        <w:tc>
          <w:tcPr>
            <w:tcW w:w="905" w:type="dxa"/>
            <w:gridSpan w:val="2"/>
            <w:tcBorders>
              <w:top w:val="single" w:color="auto" w:sz="4" w:space="0"/>
              <w:left w:val="nil"/>
              <w:bottom w:val="single" w:color="auto" w:sz="4" w:space="0"/>
              <w:right w:val="single" w:color="000000"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主控项目</w:t>
            </w:r>
          </w:p>
        </w:tc>
        <w:tc>
          <w:tcPr>
            <w:tcW w:w="7528"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Ansi="宋体" w:cs="宋体"/>
                <w:color w:val="auto"/>
                <w:sz w:val="18"/>
                <w:szCs w:val="18"/>
              </w:rPr>
            </w:pPr>
            <w:r>
              <w:rPr>
                <w:rFonts w:hint="eastAsia" w:hAnsi="宋体" w:cs="宋体"/>
                <w:color w:val="auto"/>
                <w:sz w:val="18"/>
                <w:szCs w:val="18"/>
              </w:rPr>
              <w:t>主受力钢筋的质量品种、级别、规格和数量不符合设计要求或使用钢筋代换未办理设计变更</w:t>
            </w:r>
          </w:p>
        </w:tc>
        <w:tc>
          <w:tcPr>
            <w:tcW w:w="708"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1000</w:t>
            </w:r>
          </w:p>
        </w:tc>
      </w:tr>
      <w:tr>
        <w:tblPrEx>
          <w:tblCellMar>
            <w:top w:w="0" w:type="dxa"/>
            <w:left w:w="108" w:type="dxa"/>
            <w:bottom w:w="0" w:type="dxa"/>
            <w:right w:w="108" w:type="dxa"/>
          </w:tblCellMar>
        </w:tblPrEx>
        <w:trPr>
          <w:trHeight w:val="342" w:hRule="atLeast"/>
        </w:trPr>
        <w:tc>
          <w:tcPr>
            <w:tcW w:w="72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color w:val="auto"/>
                <w:sz w:val="18"/>
                <w:szCs w:val="18"/>
              </w:rPr>
            </w:pPr>
          </w:p>
        </w:tc>
        <w:tc>
          <w:tcPr>
            <w:tcW w:w="509" w:type="dxa"/>
            <w:vMerge w:val="restart"/>
            <w:tcBorders>
              <w:top w:val="nil"/>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一般项目</w:t>
            </w:r>
          </w:p>
        </w:tc>
        <w:tc>
          <w:tcPr>
            <w:tcW w:w="396"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1</w:t>
            </w:r>
          </w:p>
        </w:tc>
        <w:tc>
          <w:tcPr>
            <w:tcW w:w="7528"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Ansi="宋体" w:cs="宋体"/>
                <w:b/>
                <w:bCs/>
                <w:color w:val="auto"/>
                <w:sz w:val="18"/>
                <w:szCs w:val="18"/>
              </w:rPr>
            </w:pPr>
            <w:r>
              <w:rPr>
                <w:rFonts w:hint="eastAsia" w:hAnsi="宋体" w:cs="宋体"/>
                <w:b/>
                <w:bCs/>
                <w:color w:val="auto"/>
                <w:sz w:val="18"/>
                <w:szCs w:val="18"/>
              </w:rPr>
              <w:t>材料：</w:t>
            </w:r>
            <w:r>
              <w:rPr>
                <w:rFonts w:hint="eastAsia" w:hAnsi="宋体" w:cs="宋体"/>
                <w:color w:val="auto"/>
                <w:sz w:val="18"/>
                <w:szCs w:val="18"/>
              </w:rPr>
              <w:t>钢筋锈蚀、污染严重未进行处理就使用或出现外观缺陷。</w:t>
            </w:r>
          </w:p>
        </w:tc>
        <w:tc>
          <w:tcPr>
            <w:tcW w:w="708"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500</w:t>
            </w:r>
          </w:p>
        </w:tc>
      </w:tr>
      <w:tr>
        <w:tblPrEx>
          <w:tblCellMar>
            <w:top w:w="0" w:type="dxa"/>
            <w:left w:w="108" w:type="dxa"/>
            <w:bottom w:w="0" w:type="dxa"/>
            <w:right w:w="108" w:type="dxa"/>
          </w:tblCellMar>
        </w:tblPrEx>
        <w:trPr>
          <w:trHeight w:val="1362" w:hRule="atLeast"/>
        </w:trPr>
        <w:tc>
          <w:tcPr>
            <w:tcW w:w="72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color w:val="auto"/>
                <w:sz w:val="18"/>
                <w:szCs w:val="18"/>
              </w:rPr>
            </w:pPr>
          </w:p>
        </w:tc>
        <w:tc>
          <w:tcPr>
            <w:tcW w:w="509"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color w:val="auto"/>
                <w:sz w:val="18"/>
                <w:szCs w:val="18"/>
              </w:rPr>
            </w:pPr>
          </w:p>
        </w:tc>
        <w:tc>
          <w:tcPr>
            <w:tcW w:w="396"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2</w:t>
            </w:r>
          </w:p>
        </w:tc>
        <w:tc>
          <w:tcPr>
            <w:tcW w:w="7528"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int="eastAsia" w:hAnsi="宋体" w:eastAsia="宋体" w:cs="宋体"/>
                <w:color w:val="auto"/>
                <w:sz w:val="18"/>
                <w:szCs w:val="18"/>
                <w:lang w:eastAsia="zh-CN"/>
              </w:rPr>
            </w:pPr>
            <w:r>
              <w:rPr>
                <w:rFonts w:hint="eastAsia" w:hAnsi="宋体" w:cs="宋体"/>
                <w:b/>
                <w:bCs/>
                <w:color w:val="auto"/>
                <w:sz w:val="18"/>
                <w:szCs w:val="18"/>
              </w:rPr>
              <w:t xml:space="preserve">连接： </w:t>
            </w:r>
            <w:r>
              <w:rPr>
                <w:rFonts w:hint="eastAsia" w:hAnsi="宋体" w:cs="宋体"/>
                <w:color w:val="auto"/>
                <w:sz w:val="18"/>
                <w:szCs w:val="18"/>
              </w:rPr>
              <w:t>连接（搭接、焊接、套筒）接头外观质量达不到要求；</w:t>
            </w:r>
          </w:p>
          <w:p>
            <w:pPr>
              <w:widowControl/>
              <w:rPr>
                <w:rFonts w:hint="eastAsia" w:hAnsi="宋体" w:cs="宋体"/>
                <w:color w:val="auto"/>
                <w:sz w:val="18"/>
                <w:szCs w:val="18"/>
              </w:rPr>
            </w:pPr>
            <w:r>
              <w:rPr>
                <w:rFonts w:hint="eastAsia" w:hAnsi="宋体" w:cs="宋体"/>
                <w:color w:val="auto"/>
                <w:sz w:val="18"/>
                <w:szCs w:val="18"/>
              </w:rPr>
              <w:t>同一区间出现两次以上搭接的；</w:t>
            </w:r>
          </w:p>
          <w:p>
            <w:pPr>
              <w:widowControl/>
              <w:rPr>
                <w:rFonts w:hint="eastAsia" w:hAnsi="宋体" w:cs="宋体"/>
                <w:color w:val="auto"/>
                <w:sz w:val="18"/>
                <w:szCs w:val="18"/>
              </w:rPr>
            </w:pPr>
            <w:r>
              <w:rPr>
                <w:rFonts w:hint="eastAsia" w:hAnsi="宋体" w:cs="宋体"/>
                <w:color w:val="auto"/>
                <w:sz w:val="18"/>
                <w:szCs w:val="18"/>
              </w:rPr>
              <w:t>如设计有要求但未按设计要求使用钢筋连接；</w:t>
            </w:r>
          </w:p>
          <w:p>
            <w:pPr>
              <w:widowControl/>
              <w:rPr>
                <w:rFonts w:hAnsi="宋体" w:cs="宋体"/>
                <w:b/>
                <w:bCs/>
                <w:color w:val="auto"/>
                <w:sz w:val="18"/>
                <w:szCs w:val="18"/>
              </w:rPr>
            </w:pPr>
            <w:r>
              <w:rPr>
                <w:rFonts w:hint="eastAsia" w:hAnsi="宋体" w:cs="宋体"/>
                <w:color w:val="auto"/>
                <w:sz w:val="18"/>
                <w:szCs w:val="18"/>
              </w:rPr>
              <w:t>接头面积百分率超过规范要求；受力钢筋连接接头位置不符合规范要求。</w:t>
            </w:r>
          </w:p>
        </w:tc>
        <w:tc>
          <w:tcPr>
            <w:tcW w:w="708"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500</w:t>
            </w:r>
          </w:p>
        </w:tc>
      </w:tr>
      <w:tr>
        <w:tblPrEx>
          <w:tblCellMar>
            <w:top w:w="0" w:type="dxa"/>
            <w:left w:w="108" w:type="dxa"/>
            <w:bottom w:w="0" w:type="dxa"/>
            <w:right w:w="108" w:type="dxa"/>
          </w:tblCellMar>
        </w:tblPrEx>
        <w:trPr>
          <w:trHeight w:val="1245" w:hRule="atLeast"/>
        </w:trPr>
        <w:tc>
          <w:tcPr>
            <w:tcW w:w="72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color w:val="auto"/>
                <w:sz w:val="18"/>
                <w:szCs w:val="18"/>
              </w:rPr>
            </w:pPr>
          </w:p>
        </w:tc>
        <w:tc>
          <w:tcPr>
            <w:tcW w:w="509"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color w:val="auto"/>
                <w:sz w:val="18"/>
                <w:szCs w:val="18"/>
              </w:rPr>
            </w:pPr>
          </w:p>
        </w:tc>
        <w:tc>
          <w:tcPr>
            <w:tcW w:w="396"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3</w:t>
            </w:r>
          </w:p>
        </w:tc>
        <w:tc>
          <w:tcPr>
            <w:tcW w:w="7528"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int="eastAsia" w:hAnsi="宋体" w:cs="宋体"/>
                <w:color w:val="auto"/>
                <w:sz w:val="18"/>
                <w:szCs w:val="18"/>
              </w:rPr>
            </w:pPr>
            <w:r>
              <w:rPr>
                <w:rFonts w:hint="eastAsia" w:hAnsi="宋体" w:cs="宋体"/>
                <w:b/>
                <w:bCs/>
                <w:color w:val="auto"/>
                <w:sz w:val="18"/>
                <w:szCs w:val="18"/>
              </w:rPr>
              <w:t>绑扎：</w:t>
            </w:r>
            <w:r>
              <w:rPr>
                <w:rFonts w:hint="eastAsia" w:hAnsi="宋体" w:cs="宋体"/>
                <w:color w:val="auto"/>
                <w:sz w:val="18"/>
                <w:szCs w:val="18"/>
              </w:rPr>
              <w:t>钢筋未按要求绑扎，整条主筋基本未绑扎的；</w:t>
            </w:r>
          </w:p>
          <w:p>
            <w:pPr>
              <w:widowControl/>
              <w:rPr>
                <w:rFonts w:hint="eastAsia" w:hAnsi="宋体" w:cs="宋体"/>
                <w:color w:val="auto"/>
                <w:sz w:val="18"/>
                <w:szCs w:val="18"/>
              </w:rPr>
            </w:pPr>
            <w:r>
              <w:rPr>
                <w:rFonts w:hint="eastAsia" w:hAnsi="宋体" w:cs="宋体"/>
                <w:color w:val="auto"/>
                <w:sz w:val="18"/>
                <w:szCs w:val="18"/>
              </w:rPr>
              <w:t>箍筋、腰筋、拉筋、加强筋等不按要求设置；</w:t>
            </w:r>
          </w:p>
          <w:p>
            <w:pPr>
              <w:widowControl/>
              <w:rPr>
                <w:rFonts w:hAnsi="宋体" w:cs="宋体"/>
                <w:b/>
                <w:bCs/>
                <w:color w:val="auto"/>
                <w:sz w:val="18"/>
                <w:szCs w:val="18"/>
              </w:rPr>
            </w:pPr>
            <w:r>
              <w:rPr>
                <w:rFonts w:hint="eastAsia" w:hAnsi="宋体" w:cs="宋体"/>
                <w:color w:val="auto"/>
                <w:sz w:val="18"/>
                <w:szCs w:val="18"/>
              </w:rPr>
              <w:t xml:space="preserve">钢筋的位置、间距、保护层厚度、垫块及马凳不符合要求。  </w:t>
            </w:r>
          </w:p>
        </w:tc>
        <w:tc>
          <w:tcPr>
            <w:tcW w:w="708"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500</w:t>
            </w:r>
          </w:p>
        </w:tc>
      </w:tr>
      <w:tr>
        <w:tblPrEx>
          <w:tblCellMar>
            <w:top w:w="0" w:type="dxa"/>
            <w:left w:w="108" w:type="dxa"/>
            <w:bottom w:w="0" w:type="dxa"/>
            <w:right w:w="108" w:type="dxa"/>
          </w:tblCellMar>
        </w:tblPrEx>
        <w:trPr>
          <w:trHeight w:val="1080" w:hRule="atLeast"/>
        </w:trPr>
        <w:tc>
          <w:tcPr>
            <w:tcW w:w="72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color w:val="auto"/>
                <w:sz w:val="18"/>
                <w:szCs w:val="18"/>
              </w:rPr>
            </w:pPr>
          </w:p>
        </w:tc>
        <w:tc>
          <w:tcPr>
            <w:tcW w:w="509"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color w:val="auto"/>
                <w:sz w:val="18"/>
                <w:szCs w:val="18"/>
              </w:rPr>
            </w:pPr>
          </w:p>
        </w:tc>
        <w:tc>
          <w:tcPr>
            <w:tcW w:w="396"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4</w:t>
            </w:r>
          </w:p>
        </w:tc>
        <w:tc>
          <w:tcPr>
            <w:tcW w:w="7528"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int="eastAsia" w:hAnsi="宋体" w:cs="宋体"/>
                <w:b/>
                <w:bCs/>
                <w:color w:val="auto"/>
                <w:sz w:val="18"/>
                <w:szCs w:val="18"/>
              </w:rPr>
            </w:pPr>
            <w:r>
              <w:rPr>
                <w:rFonts w:hint="eastAsia" w:hAnsi="宋体" w:cs="宋体"/>
                <w:b/>
                <w:bCs/>
                <w:color w:val="auto"/>
                <w:sz w:val="18"/>
                <w:szCs w:val="18"/>
              </w:rPr>
              <w:t>加工及锚固：</w:t>
            </w:r>
          </w:p>
          <w:p>
            <w:pPr>
              <w:widowControl/>
              <w:rPr>
                <w:rFonts w:hint="eastAsia" w:hAnsi="宋体" w:cs="宋体"/>
                <w:color w:val="auto"/>
                <w:sz w:val="18"/>
                <w:szCs w:val="18"/>
              </w:rPr>
            </w:pPr>
            <w:r>
              <w:rPr>
                <w:rFonts w:hint="eastAsia" w:hAnsi="宋体" w:cs="宋体"/>
                <w:color w:val="auto"/>
                <w:sz w:val="18"/>
                <w:szCs w:val="18"/>
              </w:rPr>
              <w:t>受力钢筋锚固位置、方式错误的：锚固长度达不到要求；</w:t>
            </w:r>
          </w:p>
          <w:p>
            <w:pPr>
              <w:widowControl/>
              <w:rPr>
                <w:rFonts w:hint="eastAsia" w:hAnsi="宋体" w:cs="宋体"/>
                <w:color w:val="auto"/>
                <w:sz w:val="18"/>
                <w:szCs w:val="18"/>
              </w:rPr>
            </w:pPr>
            <w:r>
              <w:rPr>
                <w:rFonts w:hint="eastAsia" w:hAnsi="宋体" w:cs="宋体"/>
                <w:color w:val="auto"/>
                <w:sz w:val="18"/>
                <w:szCs w:val="18"/>
              </w:rPr>
              <w:t>梁、柱变截面、钢筋变径错误的；</w:t>
            </w:r>
          </w:p>
          <w:p>
            <w:pPr>
              <w:widowControl/>
              <w:rPr>
                <w:rFonts w:hAnsi="宋体" w:cs="宋体"/>
                <w:b/>
                <w:bCs/>
                <w:color w:val="auto"/>
                <w:sz w:val="18"/>
                <w:szCs w:val="18"/>
              </w:rPr>
            </w:pPr>
            <w:r>
              <w:rPr>
                <w:rFonts w:hint="eastAsia" w:hAnsi="宋体" w:cs="宋体"/>
                <w:color w:val="auto"/>
                <w:sz w:val="18"/>
                <w:szCs w:val="18"/>
              </w:rPr>
              <w:t>钢筋加工的形状及尺寸不符合图纸及规范要求。</w:t>
            </w:r>
          </w:p>
        </w:tc>
        <w:tc>
          <w:tcPr>
            <w:tcW w:w="708"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500</w:t>
            </w:r>
          </w:p>
        </w:tc>
      </w:tr>
      <w:tr>
        <w:tblPrEx>
          <w:tblCellMar>
            <w:top w:w="0" w:type="dxa"/>
            <w:left w:w="108" w:type="dxa"/>
            <w:bottom w:w="0" w:type="dxa"/>
            <w:right w:w="108" w:type="dxa"/>
          </w:tblCellMar>
        </w:tblPrEx>
        <w:trPr>
          <w:trHeight w:val="799" w:hRule="atLeast"/>
        </w:trPr>
        <w:tc>
          <w:tcPr>
            <w:tcW w:w="72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color w:val="auto"/>
                <w:sz w:val="18"/>
                <w:szCs w:val="18"/>
              </w:rPr>
            </w:pPr>
          </w:p>
        </w:tc>
        <w:tc>
          <w:tcPr>
            <w:tcW w:w="509"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color w:val="auto"/>
                <w:sz w:val="18"/>
                <w:szCs w:val="18"/>
              </w:rPr>
            </w:pPr>
          </w:p>
        </w:tc>
        <w:tc>
          <w:tcPr>
            <w:tcW w:w="396"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5</w:t>
            </w:r>
          </w:p>
        </w:tc>
        <w:tc>
          <w:tcPr>
            <w:tcW w:w="7528"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int="eastAsia" w:hAnsi="宋体" w:cs="宋体"/>
                <w:color w:val="auto"/>
                <w:sz w:val="18"/>
                <w:szCs w:val="18"/>
              </w:rPr>
            </w:pPr>
            <w:r>
              <w:rPr>
                <w:rFonts w:hint="eastAsia" w:hAnsi="宋体" w:cs="宋体"/>
                <w:b/>
                <w:bCs/>
                <w:color w:val="auto"/>
                <w:sz w:val="18"/>
                <w:szCs w:val="18"/>
              </w:rPr>
              <w:t>防雷及预埋：</w:t>
            </w:r>
            <w:r>
              <w:rPr>
                <w:rFonts w:hint="eastAsia" w:hAnsi="宋体" w:cs="宋体"/>
                <w:color w:val="auto"/>
                <w:sz w:val="18"/>
                <w:szCs w:val="18"/>
              </w:rPr>
              <w:t>防雷不符合要求；</w:t>
            </w:r>
          </w:p>
          <w:p>
            <w:pPr>
              <w:widowControl/>
              <w:rPr>
                <w:rFonts w:hint="eastAsia" w:hAnsi="宋体" w:cs="宋体"/>
                <w:color w:val="auto"/>
                <w:sz w:val="18"/>
                <w:szCs w:val="18"/>
              </w:rPr>
            </w:pPr>
            <w:r>
              <w:rPr>
                <w:rFonts w:hint="eastAsia" w:hAnsi="宋体" w:cs="宋体"/>
                <w:color w:val="auto"/>
                <w:sz w:val="18"/>
                <w:szCs w:val="18"/>
              </w:rPr>
              <w:t xml:space="preserve">预埋件规格、材料、位置及预埋方法不符合要求； </w:t>
            </w:r>
          </w:p>
          <w:p>
            <w:pPr>
              <w:widowControl/>
              <w:rPr>
                <w:rFonts w:hAnsi="宋体" w:cs="宋体"/>
                <w:b/>
                <w:bCs/>
                <w:color w:val="auto"/>
                <w:sz w:val="18"/>
                <w:szCs w:val="18"/>
              </w:rPr>
            </w:pPr>
            <w:r>
              <w:rPr>
                <w:rFonts w:hint="eastAsia" w:hAnsi="宋体" w:cs="宋体"/>
                <w:color w:val="auto"/>
                <w:sz w:val="18"/>
                <w:szCs w:val="18"/>
              </w:rPr>
              <w:t>现浇板中的线管布置不符合要求。</w:t>
            </w:r>
          </w:p>
        </w:tc>
        <w:tc>
          <w:tcPr>
            <w:tcW w:w="708"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500</w:t>
            </w:r>
          </w:p>
        </w:tc>
      </w:tr>
      <w:tr>
        <w:tblPrEx>
          <w:tblCellMar>
            <w:top w:w="0" w:type="dxa"/>
            <w:left w:w="108" w:type="dxa"/>
            <w:bottom w:w="0" w:type="dxa"/>
            <w:right w:w="108" w:type="dxa"/>
          </w:tblCellMar>
        </w:tblPrEx>
        <w:trPr>
          <w:trHeight w:val="1099" w:hRule="atLeast"/>
        </w:trPr>
        <w:tc>
          <w:tcPr>
            <w:tcW w:w="728" w:type="dxa"/>
            <w:vMerge w:val="restart"/>
            <w:tcBorders>
              <w:top w:val="nil"/>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三、模板工程</w:t>
            </w:r>
          </w:p>
        </w:tc>
        <w:tc>
          <w:tcPr>
            <w:tcW w:w="905" w:type="dxa"/>
            <w:gridSpan w:val="2"/>
            <w:tcBorders>
              <w:top w:val="single" w:color="auto" w:sz="4" w:space="0"/>
              <w:left w:val="nil"/>
              <w:bottom w:val="single" w:color="auto" w:sz="4" w:space="0"/>
              <w:right w:val="single" w:color="000000"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主控项目</w:t>
            </w:r>
          </w:p>
        </w:tc>
        <w:tc>
          <w:tcPr>
            <w:tcW w:w="7528"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int="eastAsia" w:hAnsi="宋体" w:eastAsia="宋体" w:cs="宋体"/>
                <w:color w:val="auto"/>
                <w:sz w:val="18"/>
                <w:szCs w:val="18"/>
                <w:lang w:eastAsia="zh-CN"/>
              </w:rPr>
            </w:pPr>
            <w:r>
              <w:rPr>
                <w:rFonts w:hint="eastAsia" w:hAnsi="宋体" w:cs="宋体"/>
                <w:color w:val="auto"/>
                <w:sz w:val="18"/>
                <w:szCs w:val="18"/>
              </w:rPr>
              <w:t xml:space="preserve">模板支撑系统的强度、刚度及稳定性不符合施工方案的；                                      </w:t>
            </w:r>
          </w:p>
          <w:p>
            <w:pPr>
              <w:widowControl/>
              <w:rPr>
                <w:rFonts w:hint="eastAsia" w:hAnsi="宋体" w:eastAsia="宋体" w:cs="宋体"/>
                <w:color w:val="auto"/>
                <w:sz w:val="18"/>
                <w:szCs w:val="18"/>
                <w:lang w:eastAsia="zh-CN"/>
              </w:rPr>
            </w:pPr>
            <w:r>
              <w:rPr>
                <w:rFonts w:hint="eastAsia" w:hAnsi="宋体" w:cs="宋体"/>
                <w:color w:val="auto"/>
                <w:sz w:val="18"/>
                <w:szCs w:val="18"/>
              </w:rPr>
              <w:t xml:space="preserve">未按要求留设清扫口或钢筋安装前及浇捣砼前杂物及积水未清干净的；      </w:t>
            </w:r>
          </w:p>
          <w:p>
            <w:pPr>
              <w:widowControl/>
              <w:rPr>
                <w:rFonts w:hAnsi="宋体" w:cs="宋体"/>
                <w:color w:val="auto"/>
                <w:sz w:val="18"/>
                <w:szCs w:val="18"/>
              </w:rPr>
            </w:pPr>
            <w:r>
              <w:rPr>
                <w:rFonts w:hint="eastAsia" w:hAnsi="宋体" w:cs="宋体"/>
                <w:color w:val="auto"/>
                <w:sz w:val="18"/>
                <w:szCs w:val="18"/>
              </w:rPr>
              <w:t>后浇带支撑和拆除未按要求施工（或新方案未经审批）。</w:t>
            </w:r>
          </w:p>
        </w:tc>
        <w:tc>
          <w:tcPr>
            <w:tcW w:w="708"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1000</w:t>
            </w:r>
          </w:p>
        </w:tc>
      </w:tr>
      <w:tr>
        <w:tblPrEx>
          <w:tblCellMar>
            <w:top w:w="0" w:type="dxa"/>
            <w:left w:w="108" w:type="dxa"/>
            <w:bottom w:w="0" w:type="dxa"/>
            <w:right w:w="108" w:type="dxa"/>
          </w:tblCellMar>
        </w:tblPrEx>
        <w:trPr>
          <w:trHeight w:val="1362" w:hRule="atLeast"/>
        </w:trPr>
        <w:tc>
          <w:tcPr>
            <w:tcW w:w="72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color w:val="auto"/>
                <w:sz w:val="18"/>
                <w:szCs w:val="18"/>
              </w:rPr>
            </w:pPr>
          </w:p>
        </w:tc>
        <w:tc>
          <w:tcPr>
            <w:tcW w:w="509" w:type="dxa"/>
            <w:vMerge w:val="restart"/>
            <w:tcBorders>
              <w:top w:val="nil"/>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一般项目</w:t>
            </w:r>
          </w:p>
        </w:tc>
        <w:tc>
          <w:tcPr>
            <w:tcW w:w="396"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1</w:t>
            </w:r>
          </w:p>
        </w:tc>
        <w:tc>
          <w:tcPr>
            <w:tcW w:w="7528"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int="eastAsia" w:hAnsi="宋体" w:eastAsia="宋体" w:cs="宋体"/>
                <w:color w:val="auto"/>
                <w:sz w:val="18"/>
                <w:szCs w:val="18"/>
                <w:lang w:eastAsia="zh-CN"/>
              </w:rPr>
            </w:pPr>
            <w:r>
              <w:rPr>
                <w:rFonts w:hint="eastAsia" w:hAnsi="宋体" w:cs="宋体"/>
                <w:b/>
                <w:bCs/>
                <w:color w:val="auto"/>
                <w:sz w:val="18"/>
                <w:szCs w:val="18"/>
              </w:rPr>
              <w:t>支撑：</w:t>
            </w:r>
            <w:r>
              <w:rPr>
                <w:rFonts w:hint="eastAsia" w:hAnsi="宋体" w:cs="宋体"/>
                <w:color w:val="auto"/>
                <w:sz w:val="18"/>
                <w:szCs w:val="18"/>
              </w:rPr>
              <w:t xml:space="preserve">违规使用木支撑体系；                                                               </w:t>
            </w:r>
          </w:p>
          <w:p>
            <w:pPr>
              <w:widowControl/>
              <w:rPr>
                <w:rFonts w:hint="eastAsia" w:hAnsi="宋体" w:eastAsia="宋体" w:cs="宋体"/>
                <w:color w:val="auto"/>
                <w:sz w:val="18"/>
                <w:szCs w:val="18"/>
                <w:lang w:eastAsia="zh-CN"/>
              </w:rPr>
            </w:pPr>
            <w:r>
              <w:rPr>
                <w:rFonts w:hint="eastAsia" w:hAnsi="宋体" w:cs="宋体"/>
                <w:color w:val="auto"/>
                <w:sz w:val="18"/>
                <w:szCs w:val="18"/>
              </w:rPr>
              <w:t xml:space="preserve">模板支撑与外脚手架连接或支撑于外脚手架、悬挑板上；                                 </w:t>
            </w:r>
          </w:p>
          <w:p>
            <w:pPr>
              <w:widowControl/>
              <w:rPr>
                <w:rFonts w:hint="eastAsia" w:hAnsi="宋体" w:eastAsia="宋体" w:cs="宋体"/>
                <w:color w:val="auto"/>
                <w:sz w:val="18"/>
                <w:szCs w:val="18"/>
                <w:lang w:eastAsia="zh-CN"/>
              </w:rPr>
            </w:pPr>
            <w:r>
              <w:rPr>
                <w:rFonts w:hint="eastAsia" w:hAnsi="宋体" w:cs="宋体"/>
                <w:color w:val="auto"/>
                <w:sz w:val="18"/>
                <w:szCs w:val="18"/>
              </w:rPr>
              <w:t xml:space="preserve">立杆底部未铺设垫板及上下托伸出长度大于上下托长度1/2；                        </w:t>
            </w:r>
          </w:p>
          <w:p>
            <w:pPr>
              <w:widowControl/>
              <w:rPr>
                <w:rFonts w:hint="eastAsia" w:hAnsi="宋体" w:eastAsia="宋体" w:cs="宋体"/>
                <w:color w:val="auto"/>
                <w:sz w:val="18"/>
                <w:szCs w:val="18"/>
                <w:lang w:eastAsia="zh-CN"/>
              </w:rPr>
            </w:pPr>
            <w:r>
              <w:rPr>
                <w:rFonts w:hint="eastAsia" w:hAnsi="宋体" w:cs="宋体"/>
                <w:color w:val="auto"/>
                <w:sz w:val="18"/>
                <w:szCs w:val="18"/>
              </w:rPr>
              <w:t xml:space="preserve">用作模板支撑的地坪未经夯实及砖胎膜未按要求施工；                                   </w:t>
            </w:r>
          </w:p>
          <w:p>
            <w:pPr>
              <w:widowControl/>
              <w:rPr>
                <w:rFonts w:hAnsi="宋体" w:cs="宋体"/>
                <w:b/>
                <w:bCs/>
                <w:color w:val="auto"/>
                <w:sz w:val="18"/>
                <w:szCs w:val="18"/>
              </w:rPr>
            </w:pPr>
            <w:r>
              <w:rPr>
                <w:rFonts w:hint="eastAsia" w:hAnsi="宋体" w:cs="宋体"/>
                <w:color w:val="auto"/>
                <w:sz w:val="18"/>
                <w:szCs w:val="18"/>
              </w:rPr>
              <w:t xml:space="preserve">模板及木方等材料已经明显达不到要求仍使用。                                       </w:t>
            </w:r>
          </w:p>
        </w:tc>
        <w:tc>
          <w:tcPr>
            <w:tcW w:w="708"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500</w:t>
            </w:r>
          </w:p>
        </w:tc>
      </w:tr>
      <w:tr>
        <w:tblPrEx>
          <w:tblCellMar>
            <w:top w:w="0" w:type="dxa"/>
            <w:left w:w="108" w:type="dxa"/>
            <w:bottom w:w="0" w:type="dxa"/>
            <w:right w:w="108" w:type="dxa"/>
          </w:tblCellMar>
        </w:tblPrEx>
        <w:trPr>
          <w:trHeight w:val="1080" w:hRule="atLeast"/>
        </w:trPr>
        <w:tc>
          <w:tcPr>
            <w:tcW w:w="72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color w:val="auto"/>
                <w:sz w:val="18"/>
                <w:szCs w:val="18"/>
              </w:rPr>
            </w:pPr>
          </w:p>
        </w:tc>
        <w:tc>
          <w:tcPr>
            <w:tcW w:w="509"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color w:val="auto"/>
                <w:sz w:val="18"/>
                <w:szCs w:val="18"/>
              </w:rPr>
            </w:pPr>
          </w:p>
        </w:tc>
        <w:tc>
          <w:tcPr>
            <w:tcW w:w="396"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2</w:t>
            </w:r>
          </w:p>
        </w:tc>
        <w:tc>
          <w:tcPr>
            <w:tcW w:w="7528"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int="eastAsia" w:hAnsi="宋体" w:eastAsia="宋体" w:cs="宋体"/>
                <w:color w:val="auto"/>
                <w:sz w:val="18"/>
                <w:szCs w:val="18"/>
                <w:lang w:eastAsia="zh-CN"/>
              </w:rPr>
            </w:pPr>
            <w:r>
              <w:rPr>
                <w:rFonts w:hint="eastAsia" w:hAnsi="宋体" w:cs="宋体"/>
                <w:b/>
                <w:bCs/>
                <w:color w:val="auto"/>
                <w:sz w:val="18"/>
                <w:szCs w:val="18"/>
              </w:rPr>
              <w:t>完成：</w:t>
            </w:r>
            <w:r>
              <w:rPr>
                <w:rFonts w:hint="eastAsia" w:hAnsi="宋体" w:cs="宋体"/>
                <w:color w:val="auto"/>
                <w:sz w:val="18"/>
                <w:szCs w:val="18"/>
              </w:rPr>
              <w:t xml:space="preserve">使用不合格脱模剂；                                                   </w:t>
            </w:r>
          </w:p>
          <w:p>
            <w:pPr>
              <w:widowControl/>
              <w:rPr>
                <w:rFonts w:hint="eastAsia" w:hAnsi="宋体" w:eastAsia="宋体" w:cs="宋体"/>
                <w:color w:val="auto"/>
                <w:sz w:val="18"/>
                <w:szCs w:val="18"/>
                <w:lang w:eastAsia="zh-CN"/>
              </w:rPr>
            </w:pPr>
            <w:r>
              <w:rPr>
                <w:rFonts w:hint="eastAsia" w:hAnsi="宋体" w:cs="宋体"/>
                <w:color w:val="auto"/>
                <w:sz w:val="18"/>
                <w:szCs w:val="18"/>
              </w:rPr>
              <w:t xml:space="preserve">浇捣砼前模板未浇水湿润；                                                          </w:t>
            </w:r>
          </w:p>
          <w:p>
            <w:pPr>
              <w:widowControl/>
              <w:rPr>
                <w:rFonts w:hint="eastAsia" w:hAnsi="宋体" w:eastAsia="宋体" w:cs="宋体"/>
                <w:color w:val="auto"/>
                <w:sz w:val="18"/>
                <w:szCs w:val="18"/>
                <w:lang w:eastAsia="zh-CN"/>
              </w:rPr>
            </w:pPr>
            <w:r>
              <w:rPr>
                <w:rFonts w:hint="eastAsia" w:hAnsi="宋体" w:cs="宋体"/>
                <w:color w:val="auto"/>
                <w:sz w:val="18"/>
                <w:szCs w:val="18"/>
              </w:rPr>
              <w:t xml:space="preserve">模板标高或轴线不符合要求；                                                      </w:t>
            </w:r>
          </w:p>
          <w:p>
            <w:pPr>
              <w:widowControl/>
              <w:rPr>
                <w:rFonts w:hAnsi="宋体" w:cs="宋体"/>
                <w:b/>
                <w:bCs/>
                <w:color w:val="auto"/>
                <w:sz w:val="18"/>
                <w:szCs w:val="18"/>
              </w:rPr>
            </w:pPr>
            <w:r>
              <w:rPr>
                <w:rFonts w:hint="eastAsia" w:hAnsi="宋体" w:cs="宋体"/>
                <w:color w:val="auto"/>
                <w:sz w:val="18"/>
                <w:szCs w:val="18"/>
              </w:rPr>
              <w:t>模板拼缝不严。</w:t>
            </w:r>
          </w:p>
        </w:tc>
        <w:tc>
          <w:tcPr>
            <w:tcW w:w="708"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500</w:t>
            </w:r>
          </w:p>
        </w:tc>
      </w:tr>
      <w:tr>
        <w:tblPrEx>
          <w:tblCellMar>
            <w:top w:w="0" w:type="dxa"/>
            <w:left w:w="108" w:type="dxa"/>
            <w:bottom w:w="0" w:type="dxa"/>
            <w:right w:w="108" w:type="dxa"/>
          </w:tblCellMar>
        </w:tblPrEx>
        <w:trPr>
          <w:trHeight w:val="582" w:hRule="atLeast"/>
        </w:trPr>
        <w:tc>
          <w:tcPr>
            <w:tcW w:w="72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color w:val="auto"/>
                <w:sz w:val="18"/>
                <w:szCs w:val="18"/>
              </w:rPr>
            </w:pPr>
          </w:p>
        </w:tc>
        <w:tc>
          <w:tcPr>
            <w:tcW w:w="509"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color w:val="auto"/>
                <w:sz w:val="18"/>
                <w:szCs w:val="18"/>
              </w:rPr>
            </w:pPr>
          </w:p>
        </w:tc>
        <w:tc>
          <w:tcPr>
            <w:tcW w:w="396"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3</w:t>
            </w:r>
          </w:p>
        </w:tc>
        <w:tc>
          <w:tcPr>
            <w:tcW w:w="7528"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int="eastAsia" w:hAnsi="宋体" w:cs="宋体"/>
                <w:color w:val="auto"/>
                <w:sz w:val="18"/>
                <w:szCs w:val="18"/>
              </w:rPr>
            </w:pPr>
            <w:r>
              <w:rPr>
                <w:rFonts w:hint="eastAsia" w:hAnsi="宋体" w:cs="宋体"/>
                <w:b/>
                <w:bCs/>
                <w:color w:val="auto"/>
                <w:sz w:val="18"/>
                <w:szCs w:val="18"/>
              </w:rPr>
              <w:t>拆除：</w:t>
            </w:r>
            <w:r>
              <w:rPr>
                <w:rFonts w:hint="eastAsia" w:hAnsi="宋体" w:cs="宋体"/>
                <w:color w:val="auto"/>
                <w:sz w:val="18"/>
                <w:szCs w:val="18"/>
              </w:rPr>
              <w:t>构件未达到要求的强度进行模板拆除；</w:t>
            </w:r>
          </w:p>
          <w:p>
            <w:pPr>
              <w:widowControl/>
              <w:rPr>
                <w:rFonts w:hAnsi="宋体" w:cs="宋体"/>
                <w:b/>
                <w:bCs/>
                <w:color w:val="auto"/>
                <w:sz w:val="18"/>
                <w:szCs w:val="18"/>
              </w:rPr>
            </w:pPr>
            <w:r>
              <w:rPr>
                <w:rFonts w:hint="eastAsia" w:hAnsi="宋体" w:cs="宋体"/>
                <w:color w:val="auto"/>
                <w:sz w:val="18"/>
                <w:szCs w:val="18"/>
              </w:rPr>
              <w:t>模板未按规范要求进行拆除。</w:t>
            </w:r>
          </w:p>
        </w:tc>
        <w:tc>
          <w:tcPr>
            <w:tcW w:w="708"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500</w:t>
            </w:r>
          </w:p>
        </w:tc>
      </w:tr>
      <w:tr>
        <w:tblPrEx>
          <w:tblCellMar>
            <w:top w:w="0" w:type="dxa"/>
            <w:left w:w="108" w:type="dxa"/>
            <w:bottom w:w="0" w:type="dxa"/>
            <w:right w:w="108" w:type="dxa"/>
          </w:tblCellMar>
        </w:tblPrEx>
        <w:trPr>
          <w:trHeight w:val="540" w:hRule="atLeast"/>
        </w:trPr>
        <w:tc>
          <w:tcPr>
            <w:tcW w:w="728" w:type="dxa"/>
            <w:vMerge w:val="restart"/>
            <w:tcBorders>
              <w:top w:val="nil"/>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四、砼工程</w:t>
            </w:r>
          </w:p>
        </w:tc>
        <w:tc>
          <w:tcPr>
            <w:tcW w:w="905" w:type="dxa"/>
            <w:gridSpan w:val="2"/>
            <w:tcBorders>
              <w:top w:val="single" w:color="auto" w:sz="4" w:space="0"/>
              <w:left w:val="nil"/>
              <w:bottom w:val="single" w:color="auto" w:sz="4" w:space="0"/>
              <w:right w:val="single" w:color="000000"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主控项目</w:t>
            </w:r>
          </w:p>
        </w:tc>
        <w:tc>
          <w:tcPr>
            <w:tcW w:w="7528"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int="eastAsia" w:hAnsi="宋体" w:eastAsia="宋体" w:cs="宋体"/>
                <w:color w:val="auto"/>
                <w:sz w:val="18"/>
                <w:szCs w:val="18"/>
                <w:lang w:eastAsia="zh-CN"/>
              </w:rPr>
            </w:pPr>
            <w:r>
              <w:rPr>
                <w:rFonts w:hint="eastAsia" w:hAnsi="宋体" w:cs="宋体"/>
                <w:color w:val="auto"/>
                <w:sz w:val="18"/>
                <w:szCs w:val="18"/>
              </w:rPr>
              <w:t>砼存在严重结构缺陷或强度不足的；</w:t>
            </w:r>
          </w:p>
          <w:p>
            <w:pPr>
              <w:widowControl/>
              <w:rPr>
                <w:rFonts w:hAnsi="宋体" w:cs="宋体"/>
                <w:color w:val="auto"/>
                <w:sz w:val="18"/>
                <w:szCs w:val="18"/>
              </w:rPr>
            </w:pPr>
            <w:r>
              <w:rPr>
                <w:rFonts w:hint="eastAsia" w:hAnsi="宋体" w:cs="宋体"/>
                <w:color w:val="auto"/>
                <w:sz w:val="18"/>
                <w:szCs w:val="18"/>
              </w:rPr>
              <w:t>特殊混凝土不符合设计要求。</w:t>
            </w:r>
          </w:p>
        </w:tc>
        <w:tc>
          <w:tcPr>
            <w:tcW w:w="708"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1000</w:t>
            </w:r>
          </w:p>
        </w:tc>
      </w:tr>
      <w:tr>
        <w:tblPrEx>
          <w:tblCellMar>
            <w:top w:w="0" w:type="dxa"/>
            <w:left w:w="108" w:type="dxa"/>
            <w:bottom w:w="0" w:type="dxa"/>
            <w:right w:w="108" w:type="dxa"/>
          </w:tblCellMar>
        </w:tblPrEx>
        <w:trPr>
          <w:trHeight w:val="559" w:hRule="atLeast"/>
        </w:trPr>
        <w:tc>
          <w:tcPr>
            <w:tcW w:w="72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color w:val="auto"/>
                <w:sz w:val="18"/>
                <w:szCs w:val="18"/>
              </w:rPr>
            </w:pPr>
          </w:p>
        </w:tc>
        <w:tc>
          <w:tcPr>
            <w:tcW w:w="509" w:type="dxa"/>
            <w:vMerge w:val="restart"/>
            <w:tcBorders>
              <w:top w:val="nil"/>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一般项目</w:t>
            </w:r>
          </w:p>
        </w:tc>
        <w:tc>
          <w:tcPr>
            <w:tcW w:w="396"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1</w:t>
            </w:r>
          </w:p>
        </w:tc>
        <w:tc>
          <w:tcPr>
            <w:tcW w:w="7528"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Ansi="宋体" w:cs="宋体"/>
                <w:b/>
                <w:bCs/>
                <w:color w:val="auto"/>
                <w:sz w:val="18"/>
                <w:szCs w:val="18"/>
              </w:rPr>
            </w:pPr>
            <w:r>
              <w:rPr>
                <w:rFonts w:hint="eastAsia" w:hAnsi="宋体" w:cs="宋体"/>
                <w:b/>
                <w:bCs/>
                <w:color w:val="auto"/>
                <w:sz w:val="18"/>
                <w:szCs w:val="18"/>
              </w:rPr>
              <w:t>偏位：</w:t>
            </w:r>
            <w:r>
              <w:rPr>
                <w:rFonts w:hint="eastAsia" w:hAnsi="宋体" w:cs="宋体"/>
                <w:color w:val="auto"/>
                <w:sz w:val="18"/>
                <w:szCs w:val="18"/>
              </w:rPr>
              <w:t>柱及剪力墙发现上下层偏位，梁、板下沉及梁轴线偏移超出规范要求1cm以上；</w:t>
            </w:r>
          </w:p>
        </w:tc>
        <w:tc>
          <w:tcPr>
            <w:tcW w:w="708"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500</w:t>
            </w:r>
          </w:p>
        </w:tc>
      </w:tr>
      <w:tr>
        <w:tblPrEx>
          <w:tblCellMar>
            <w:top w:w="0" w:type="dxa"/>
            <w:left w:w="108" w:type="dxa"/>
            <w:bottom w:w="0" w:type="dxa"/>
            <w:right w:w="108" w:type="dxa"/>
          </w:tblCellMar>
        </w:tblPrEx>
        <w:trPr>
          <w:trHeight w:val="1639" w:hRule="atLeast"/>
        </w:trPr>
        <w:tc>
          <w:tcPr>
            <w:tcW w:w="72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color w:val="auto"/>
                <w:sz w:val="18"/>
                <w:szCs w:val="18"/>
              </w:rPr>
            </w:pPr>
          </w:p>
        </w:tc>
        <w:tc>
          <w:tcPr>
            <w:tcW w:w="509"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color w:val="auto"/>
                <w:sz w:val="18"/>
                <w:szCs w:val="18"/>
              </w:rPr>
            </w:pPr>
          </w:p>
        </w:tc>
        <w:tc>
          <w:tcPr>
            <w:tcW w:w="396"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2</w:t>
            </w:r>
          </w:p>
        </w:tc>
        <w:tc>
          <w:tcPr>
            <w:tcW w:w="7528"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int="eastAsia" w:hAnsi="宋体" w:eastAsia="宋体" w:cs="宋体"/>
                <w:color w:val="auto"/>
                <w:sz w:val="18"/>
                <w:szCs w:val="18"/>
                <w:lang w:eastAsia="zh-CN"/>
              </w:rPr>
            </w:pPr>
            <w:r>
              <w:rPr>
                <w:rFonts w:hint="eastAsia" w:hAnsi="宋体" w:cs="宋体"/>
                <w:b/>
                <w:bCs/>
                <w:color w:val="auto"/>
                <w:sz w:val="18"/>
                <w:szCs w:val="18"/>
              </w:rPr>
              <w:t>缺陷：</w:t>
            </w:r>
            <w:r>
              <w:rPr>
                <w:rFonts w:hint="eastAsia" w:hAnsi="宋体" w:cs="宋体"/>
                <w:color w:val="auto"/>
                <w:sz w:val="18"/>
                <w:szCs w:val="18"/>
              </w:rPr>
              <w:t xml:space="preserve">构件主要受力部位存在裂缝的；                                             </w:t>
            </w:r>
          </w:p>
          <w:p>
            <w:pPr>
              <w:widowControl/>
              <w:rPr>
                <w:rFonts w:hint="eastAsia" w:hAnsi="宋体" w:cs="宋体"/>
                <w:color w:val="auto"/>
                <w:sz w:val="18"/>
                <w:szCs w:val="18"/>
              </w:rPr>
            </w:pPr>
            <w:r>
              <w:rPr>
                <w:rFonts w:hint="eastAsia" w:hAnsi="宋体" w:cs="宋体"/>
                <w:color w:val="auto"/>
                <w:sz w:val="18"/>
                <w:szCs w:val="18"/>
              </w:rPr>
              <w:t>砼梁、板、柱、墙存在一般砂化、夹渣、蜂窝、孔洞、露筋；</w:t>
            </w:r>
          </w:p>
          <w:p>
            <w:pPr>
              <w:widowControl/>
              <w:rPr>
                <w:rFonts w:hint="eastAsia" w:hAnsi="宋体" w:eastAsia="宋体" w:cs="宋体"/>
                <w:color w:val="auto"/>
                <w:sz w:val="18"/>
                <w:szCs w:val="18"/>
                <w:lang w:eastAsia="zh-CN"/>
              </w:rPr>
            </w:pPr>
            <w:r>
              <w:rPr>
                <w:rFonts w:hint="eastAsia" w:hAnsi="宋体" w:cs="宋体"/>
                <w:color w:val="auto"/>
                <w:sz w:val="18"/>
                <w:szCs w:val="18"/>
              </w:rPr>
              <w:t xml:space="preserve">板面、屋面未按要求收面；                                                           </w:t>
            </w:r>
          </w:p>
          <w:p>
            <w:pPr>
              <w:widowControl/>
              <w:rPr>
                <w:rFonts w:hint="eastAsia" w:hAnsi="宋体" w:eastAsia="宋体" w:cs="宋体"/>
                <w:color w:val="auto"/>
                <w:sz w:val="18"/>
                <w:szCs w:val="18"/>
                <w:lang w:eastAsia="zh-CN"/>
              </w:rPr>
            </w:pPr>
            <w:r>
              <w:rPr>
                <w:rFonts w:hint="eastAsia" w:hAnsi="宋体" w:cs="宋体"/>
                <w:color w:val="auto"/>
                <w:sz w:val="18"/>
                <w:szCs w:val="18"/>
              </w:rPr>
              <w:t xml:space="preserve">施工缝及其他未按规范及图纸施工；                                       </w:t>
            </w:r>
          </w:p>
          <w:p>
            <w:pPr>
              <w:widowControl/>
              <w:rPr>
                <w:rFonts w:hint="eastAsia" w:hAnsi="宋体" w:eastAsia="宋体" w:cs="宋体"/>
                <w:color w:val="auto"/>
                <w:sz w:val="18"/>
                <w:szCs w:val="18"/>
                <w:lang w:eastAsia="zh-CN"/>
              </w:rPr>
            </w:pPr>
            <w:r>
              <w:rPr>
                <w:rFonts w:hint="eastAsia" w:hAnsi="宋体" w:cs="宋体"/>
                <w:color w:val="auto"/>
                <w:sz w:val="18"/>
                <w:szCs w:val="18"/>
              </w:rPr>
              <w:t xml:space="preserve">砼结构楼板压槽不符合要求；                                                </w:t>
            </w:r>
          </w:p>
          <w:p>
            <w:pPr>
              <w:widowControl/>
              <w:rPr>
                <w:rFonts w:hAnsi="宋体" w:cs="宋体"/>
                <w:b/>
                <w:bCs/>
                <w:color w:val="auto"/>
                <w:sz w:val="18"/>
                <w:szCs w:val="18"/>
              </w:rPr>
            </w:pPr>
            <w:r>
              <w:rPr>
                <w:rFonts w:hint="eastAsia" w:hAnsi="宋体" w:cs="宋体"/>
                <w:color w:val="auto"/>
                <w:sz w:val="18"/>
                <w:szCs w:val="18"/>
              </w:rPr>
              <w:t>养护不合格或板面未按要求采用薄膜覆盖自养。</w:t>
            </w:r>
          </w:p>
        </w:tc>
        <w:tc>
          <w:tcPr>
            <w:tcW w:w="708"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500</w:t>
            </w:r>
          </w:p>
        </w:tc>
      </w:tr>
      <w:tr>
        <w:tblPrEx>
          <w:tblCellMar>
            <w:top w:w="0" w:type="dxa"/>
            <w:left w:w="108" w:type="dxa"/>
            <w:bottom w:w="0" w:type="dxa"/>
            <w:right w:w="108" w:type="dxa"/>
          </w:tblCellMar>
        </w:tblPrEx>
        <w:trPr>
          <w:trHeight w:val="780" w:hRule="atLeast"/>
        </w:trPr>
        <w:tc>
          <w:tcPr>
            <w:tcW w:w="728"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color w:val="auto"/>
                <w:sz w:val="18"/>
                <w:szCs w:val="18"/>
              </w:rPr>
            </w:pPr>
          </w:p>
        </w:tc>
        <w:tc>
          <w:tcPr>
            <w:tcW w:w="509"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color w:val="auto"/>
                <w:sz w:val="18"/>
                <w:szCs w:val="18"/>
              </w:rPr>
            </w:pPr>
          </w:p>
        </w:tc>
        <w:tc>
          <w:tcPr>
            <w:tcW w:w="396"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3</w:t>
            </w:r>
          </w:p>
        </w:tc>
        <w:tc>
          <w:tcPr>
            <w:tcW w:w="7528"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Ansi="宋体" w:cs="宋体"/>
                <w:b/>
                <w:bCs/>
                <w:color w:val="auto"/>
                <w:sz w:val="18"/>
                <w:szCs w:val="18"/>
              </w:rPr>
            </w:pPr>
            <w:r>
              <w:rPr>
                <w:rFonts w:hint="eastAsia" w:hAnsi="宋体" w:cs="宋体"/>
                <w:b/>
                <w:bCs/>
                <w:color w:val="auto"/>
                <w:sz w:val="18"/>
                <w:szCs w:val="18"/>
              </w:rPr>
              <w:t>修补：</w:t>
            </w:r>
            <w:r>
              <w:rPr>
                <w:rFonts w:hint="eastAsia" w:hAnsi="宋体" w:cs="宋体"/>
                <w:color w:val="auto"/>
                <w:sz w:val="18"/>
                <w:szCs w:val="18"/>
              </w:rPr>
              <w:t>砼缺陷处理不符合要求；                                              严重缺陷未经莞建项目部对方案审批的，乙方擅自对砼缺陷修补且不合格。</w:t>
            </w:r>
          </w:p>
        </w:tc>
        <w:tc>
          <w:tcPr>
            <w:tcW w:w="708"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500</w:t>
            </w:r>
          </w:p>
        </w:tc>
      </w:tr>
    </w:tbl>
    <w:p>
      <w:pPr>
        <w:spacing w:line="360" w:lineRule="auto"/>
        <w:ind w:left="-540" w:leftChars="-257" w:firstLine="318" w:firstLineChars="177"/>
        <w:rPr>
          <w:rFonts w:hAnsi="宋体"/>
          <w:color w:val="auto"/>
          <w:sz w:val="18"/>
          <w:szCs w:val="18"/>
        </w:rPr>
      </w:pPr>
    </w:p>
    <w:p>
      <w:pPr>
        <w:widowControl/>
        <w:rPr>
          <w:rFonts w:hAnsi="宋体"/>
          <w:color w:val="auto"/>
          <w:sz w:val="18"/>
          <w:szCs w:val="18"/>
        </w:rPr>
      </w:pPr>
      <w:r>
        <w:rPr>
          <w:rFonts w:hAnsi="宋体"/>
          <w:color w:val="auto"/>
          <w:sz w:val="18"/>
          <w:szCs w:val="18"/>
        </w:rPr>
        <w:br w:type="page"/>
      </w:r>
    </w:p>
    <w:tbl>
      <w:tblPr>
        <w:tblStyle w:val="15"/>
        <w:tblW w:w="0" w:type="auto"/>
        <w:tblInd w:w="93" w:type="dxa"/>
        <w:tblLayout w:type="fixed"/>
        <w:tblCellMar>
          <w:top w:w="0" w:type="dxa"/>
          <w:left w:w="108" w:type="dxa"/>
          <w:bottom w:w="0" w:type="dxa"/>
          <w:right w:w="108" w:type="dxa"/>
        </w:tblCellMar>
      </w:tblPr>
      <w:tblGrid>
        <w:gridCol w:w="833"/>
        <w:gridCol w:w="615"/>
        <w:gridCol w:w="7716"/>
        <w:gridCol w:w="705"/>
      </w:tblGrid>
      <w:tr>
        <w:tblPrEx>
          <w:tblCellMar>
            <w:top w:w="0" w:type="dxa"/>
            <w:left w:w="108" w:type="dxa"/>
            <w:bottom w:w="0" w:type="dxa"/>
            <w:right w:w="108" w:type="dxa"/>
          </w:tblCellMar>
        </w:tblPrEx>
        <w:trPr>
          <w:trHeight w:val="815" w:hRule="atLeast"/>
        </w:trPr>
        <w:tc>
          <w:tcPr>
            <w:tcW w:w="9869" w:type="dxa"/>
            <w:gridSpan w:val="4"/>
            <w:shd w:val="clear" w:color="000000" w:fill="FFFFFF"/>
            <w:noWrap w:val="0"/>
            <w:vAlign w:val="center"/>
          </w:tcPr>
          <w:p>
            <w:pPr>
              <w:widowControl/>
              <w:jc w:val="center"/>
              <w:rPr>
                <w:rFonts w:hAnsi="宋体" w:cs="宋体"/>
                <w:b/>
                <w:bCs/>
                <w:color w:val="auto"/>
                <w:sz w:val="36"/>
                <w:szCs w:val="36"/>
              </w:rPr>
            </w:pPr>
            <w:r>
              <w:rPr>
                <w:rFonts w:hint="eastAsia" w:hAnsi="宋体" w:cs="宋体"/>
                <w:b/>
                <w:bCs/>
                <w:color w:val="auto"/>
                <w:sz w:val="36"/>
                <w:szCs w:val="36"/>
              </w:rPr>
              <w:t>装修、市政工程质量管理细则</w:t>
            </w:r>
          </w:p>
        </w:tc>
      </w:tr>
      <w:tr>
        <w:tblPrEx>
          <w:tblCellMar>
            <w:top w:w="0" w:type="dxa"/>
            <w:left w:w="108" w:type="dxa"/>
            <w:bottom w:w="0" w:type="dxa"/>
            <w:right w:w="108" w:type="dxa"/>
          </w:tblCellMar>
        </w:tblPrEx>
        <w:trPr>
          <w:trHeight w:val="765" w:hRule="atLeast"/>
        </w:trPr>
        <w:tc>
          <w:tcPr>
            <w:tcW w:w="833"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检查项目</w:t>
            </w:r>
          </w:p>
        </w:tc>
        <w:tc>
          <w:tcPr>
            <w:tcW w:w="8331" w:type="dxa"/>
            <w:gridSpan w:val="2"/>
            <w:tcBorders>
              <w:top w:val="single" w:color="auto" w:sz="4" w:space="0"/>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工程质量管控要求</w:t>
            </w:r>
          </w:p>
        </w:tc>
        <w:tc>
          <w:tcPr>
            <w:tcW w:w="70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罚款金额/次</w:t>
            </w:r>
          </w:p>
        </w:tc>
      </w:tr>
      <w:tr>
        <w:tblPrEx>
          <w:tblCellMar>
            <w:top w:w="0" w:type="dxa"/>
            <w:left w:w="108" w:type="dxa"/>
            <w:bottom w:w="0" w:type="dxa"/>
            <w:right w:w="108" w:type="dxa"/>
          </w:tblCellMar>
        </w:tblPrEx>
        <w:trPr>
          <w:trHeight w:val="570" w:hRule="atLeast"/>
        </w:trPr>
        <w:tc>
          <w:tcPr>
            <w:tcW w:w="833" w:type="dxa"/>
            <w:vMerge w:val="restar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一、外墙工程</w:t>
            </w:r>
          </w:p>
        </w:tc>
        <w:tc>
          <w:tcPr>
            <w:tcW w:w="615" w:type="dxa"/>
            <w:tcBorders>
              <w:top w:val="nil"/>
              <w:left w:val="nil"/>
              <w:bottom w:val="single" w:color="auto" w:sz="4" w:space="0"/>
              <w:right w:val="single" w:color="auto" w:sz="4" w:space="0"/>
            </w:tcBorders>
            <w:shd w:val="clear" w:color="000000" w:fill="FFFFFF"/>
            <w:noWrap w:val="0"/>
            <w:vAlign w:val="center"/>
          </w:tcPr>
          <w:p>
            <w:pPr>
              <w:widowControl/>
              <w:jc w:val="center"/>
              <w:rPr>
                <w:rFonts w:hint="eastAsia" w:hAnsi="宋体" w:eastAsia="宋体" w:cs="宋体"/>
                <w:color w:val="auto"/>
                <w:sz w:val="18"/>
                <w:szCs w:val="18"/>
                <w:lang w:eastAsia="zh-CN"/>
              </w:rPr>
            </w:pPr>
            <w:r>
              <w:rPr>
                <w:rFonts w:hint="eastAsia" w:hAnsi="宋体" w:cs="宋体"/>
                <w:color w:val="auto"/>
                <w:sz w:val="18"/>
                <w:szCs w:val="18"/>
              </w:rPr>
              <w:t>主控</w:t>
            </w:r>
          </w:p>
          <w:p>
            <w:pPr>
              <w:widowControl/>
              <w:jc w:val="center"/>
              <w:rPr>
                <w:rFonts w:hAnsi="宋体" w:cs="宋体"/>
                <w:color w:val="auto"/>
                <w:sz w:val="18"/>
                <w:szCs w:val="18"/>
              </w:rPr>
            </w:pPr>
            <w:r>
              <w:rPr>
                <w:rFonts w:hint="eastAsia" w:hAnsi="宋体" w:cs="宋体"/>
                <w:color w:val="auto"/>
                <w:sz w:val="18"/>
                <w:szCs w:val="18"/>
              </w:rPr>
              <w:t>项目</w:t>
            </w:r>
          </w:p>
        </w:tc>
        <w:tc>
          <w:tcPr>
            <w:tcW w:w="7716"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Ansi="宋体" w:cs="宋体"/>
                <w:color w:val="auto"/>
                <w:sz w:val="18"/>
                <w:szCs w:val="18"/>
              </w:rPr>
            </w:pPr>
            <w:r>
              <w:rPr>
                <w:rFonts w:hint="eastAsia" w:hAnsi="宋体" w:cs="宋体"/>
                <w:color w:val="auto"/>
                <w:sz w:val="18"/>
                <w:szCs w:val="18"/>
              </w:rPr>
              <w:t>材料品牌、材质、规格以及外立面效果不符合设计或合同要求。</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1000</w:t>
            </w:r>
          </w:p>
        </w:tc>
      </w:tr>
      <w:tr>
        <w:tblPrEx>
          <w:tblCellMar>
            <w:top w:w="0" w:type="dxa"/>
            <w:left w:w="108" w:type="dxa"/>
            <w:bottom w:w="0" w:type="dxa"/>
            <w:right w:w="108" w:type="dxa"/>
          </w:tblCellMar>
        </w:tblPrEx>
        <w:trPr>
          <w:trHeight w:val="1290" w:hRule="atLeast"/>
        </w:trPr>
        <w:tc>
          <w:tcPr>
            <w:tcW w:w="833"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rPr>
                <w:rFonts w:hAnsi="宋体" w:cs="宋体"/>
                <w:color w:val="auto"/>
                <w:sz w:val="18"/>
                <w:szCs w:val="18"/>
              </w:rPr>
            </w:pPr>
          </w:p>
        </w:tc>
        <w:tc>
          <w:tcPr>
            <w:tcW w:w="615"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铺贴</w:t>
            </w:r>
          </w:p>
        </w:tc>
        <w:tc>
          <w:tcPr>
            <w:tcW w:w="7716"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int="eastAsia" w:hAnsi="宋体" w:eastAsia="宋体" w:cs="宋体"/>
                <w:color w:val="auto"/>
                <w:sz w:val="18"/>
                <w:szCs w:val="18"/>
                <w:lang w:eastAsia="zh-CN"/>
              </w:rPr>
            </w:pPr>
            <w:r>
              <w:rPr>
                <w:rFonts w:hint="eastAsia" w:hAnsi="宋体" w:cs="宋体"/>
                <w:color w:val="auto"/>
                <w:sz w:val="18"/>
                <w:szCs w:val="18"/>
              </w:rPr>
              <w:t xml:space="preserve">铺贴无放样，铺贴的图案不符合图纸要求；                                           </w:t>
            </w:r>
          </w:p>
          <w:p>
            <w:pPr>
              <w:widowControl/>
              <w:rPr>
                <w:rFonts w:hint="eastAsia" w:hAnsi="宋体" w:eastAsia="宋体" w:cs="宋体"/>
                <w:color w:val="auto"/>
                <w:sz w:val="18"/>
                <w:szCs w:val="18"/>
                <w:lang w:eastAsia="zh-CN"/>
              </w:rPr>
            </w:pPr>
            <w:r>
              <w:rPr>
                <w:rFonts w:hint="eastAsia" w:hAnsi="宋体" w:cs="宋体"/>
                <w:color w:val="auto"/>
                <w:sz w:val="18"/>
                <w:szCs w:val="18"/>
              </w:rPr>
              <w:t xml:space="preserve">铺贴前未弹线、缝隙不均匀、回缝质量差、表面有污染；                       </w:t>
            </w:r>
          </w:p>
          <w:p>
            <w:pPr>
              <w:widowControl/>
              <w:rPr>
                <w:rFonts w:hint="eastAsia" w:hAnsi="宋体" w:eastAsia="宋体" w:cs="宋体"/>
                <w:color w:val="auto"/>
                <w:sz w:val="18"/>
                <w:szCs w:val="18"/>
                <w:lang w:eastAsia="zh-CN"/>
              </w:rPr>
            </w:pPr>
            <w:r>
              <w:rPr>
                <w:rFonts w:hint="eastAsia" w:hAnsi="宋体" w:cs="宋体"/>
                <w:color w:val="auto"/>
                <w:sz w:val="18"/>
                <w:szCs w:val="18"/>
              </w:rPr>
              <w:t xml:space="preserve">铺贴表面明显不平整、边角收口差、贴缝不平直；                                                 </w:t>
            </w:r>
          </w:p>
          <w:p>
            <w:pPr>
              <w:widowControl/>
              <w:rPr>
                <w:rFonts w:hAnsi="宋体" w:cs="宋体"/>
                <w:color w:val="auto"/>
                <w:sz w:val="18"/>
                <w:szCs w:val="18"/>
              </w:rPr>
            </w:pPr>
            <w:r>
              <w:rPr>
                <w:rFonts w:hint="eastAsia" w:hAnsi="宋体" w:cs="宋体"/>
                <w:color w:val="auto"/>
                <w:sz w:val="18"/>
                <w:szCs w:val="18"/>
              </w:rPr>
              <w:t>有崩损、有空鼓或脱落。</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500</w:t>
            </w:r>
          </w:p>
        </w:tc>
      </w:tr>
      <w:tr>
        <w:tblPrEx>
          <w:tblCellMar>
            <w:top w:w="0" w:type="dxa"/>
            <w:left w:w="108" w:type="dxa"/>
            <w:bottom w:w="0" w:type="dxa"/>
            <w:right w:w="108" w:type="dxa"/>
          </w:tblCellMar>
        </w:tblPrEx>
        <w:trPr>
          <w:trHeight w:val="1005" w:hRule="atLeast"/>
        </w:trPr>
        <w:tc>
          <w:tcPr>
            <w:tcW w:w="833"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rPr>
                <w:rFonts w:hAnsi="宋体" w:cs="宋体"/>
                <w:color w:val="auto"/>
                <w:sz w:val="18"/>
                <w:szCs w:val="18"/>
              </w:rPr>
            </w:pPr>
          </w:p>
        </w:tc>
        <w:tc>
          <w:tcPr>
            <w:tcW w:w="615"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饰件</w:t>
            </w:r>
          </w:p>
        </w:tc>
        <w:tc>
          <w:tcPr>
            <w:tcW w:w="7716"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int="eastAsia" w:hAnsi="宋体" w:eastAsia="宋体" w:cs="宋体"/>
                <w:color w:val="auto"/>
                <w:sz w:val="18"/>
                <w:szCs w:val="18"/>
                <w:lang w:eastAsia="zh-CN"/>
              </w:rPr>
            </w:pPr>
            <w:r>
              <w:rPr>
                <w:rFonts w:hint="eastAsia" w:hAnsi="宋体" w:cs="宋体"/>
                <w:color w:val="auto"/>
                <w:sz w:val="18"/>
                <w:szCs w:val="18"/>
              </w:rPr>
              <w:t xml:space="preserve">外墙线条涂料、铺贴前未弹线验收，大小不均匀、不平直；                                       </w:t>
            </w:r>
          </w:p>
          <w:p>
            <w:pPr>
              <w:widowControl/>
              <w:rPr>
                <w:rFonts w:hint="eastAsia" w:hAnsi="宋体" w:eastAsia="宋体" w:cs="宋体"/>
                <w:color w:val="auto"/>
                <w:sz w:val="18"/>
                <w:szCs w:val="18"/>
                <w:lang w:eastAsia="zh-CN"/>
              </w:rPr>
            </w:pPr>
            <w:r>
              <w:rPr>
                <w:rFonts w:hint="eastAsia" w:hAnsi="宋体" w:cs="宋体"/>
                <w:color w:val="auto"/>
                <w:sz w:val="18"/>
                <w:szCs w:val="18"/>
              </w:rPr>
              <w:t xml:space="preserve">外立面造型与图纸不一致；                                                </w:t>
            </w:r>
          </w:p>
          <w:p>
            <w:pPr>
              <w:widowControl/>
              <w:rPr>
                <w:rFonts w:hAnsi="宋体" w:cs="宋体"/>
                <w:color w:val="auto"/>
                <w:sz w:val="18"/>
                <w:szCs w:val="18"/>
              </w:rPr>
            </w:pPr>
            <w:r>
              <w:rPr>
                <w:rFonts w:hint="eastAsia" w:hAnsi="宋体" w:cs="宋体"/>
                <w:color w:val="auto"/>
                <w:sz w:val="18"/>
                <w:szCs w:val="18"/>
              </w:rPr>
              <w:t>各种（包括管道）接口不平直、收口差、有裂缝、崩缺，弧线不流畅。</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500</w:t>
            </w:r>
          </w:p>
        </w:tc>
      </w:tr>
      <w:tr>
        <w:tblPrEx>
          <w:tblCellMar>
            <w:top w:w="0" w:type="dxa"/>
            <w:left w:w="108" w:type="dxa"/>
            <w:bottom w:w="0" w:type="dxa"/>
            <w:right w:w="108" w:type="dxa"/>
          </w:tblCellMar>
        </w:tblPrEx>
        <w:trPr>
          <w:trHeight w:val="1710" w:hRule="atLeast"/>
        </w:trPr>
        <w:tc>
          <w:tcPr>
            <w:tcW w:w="833"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rPr>
                <w:rFonts w:hAnsi="宋体" w:cs="宋体"/>
                <w:color w:val="auto"/>
                <w:sz w:val="18"/>
                <w:szCs w:val="18"/>
              </w:rPr>
            </w:pPr>
          </w:p>
        </w:tc>
        <w:tc>
          <w:tcPr>
            <w:tcW w:w="615"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涂料</w:t>
            </w:r>
          </w:p>
        </w:tc>
        <w:tc>
          <w:tcPr>
            <w:tcW w:w="7716"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int="eastAsia" w:hAnsi="宋体" w:eastAsia="宋体" w:cs="宋体"/>
                <w:color w:val="auto"/>
                <w:sz w:val="18"/>
                <w:szCs w:val="18"/>
                <w:lang w:eastAsia="zh-CN"/>
              </w:rPr>
            </w:pPr>
            <w:r>
              <w:rPr>
                <w:rFonts w:hint="eastAsia" w:hAnsi="宋体" w:cs="宋体"/>
                <w:color w:val="auto"/>
                <w:sz w:val="18"/>
                <w:szCs w:val="18"/>
              </w:rPr>
              <w:t xml:space="preserve">喷涂色泽不一致，浮雕大小、扫油不均匀；                                                      </w:t>
            </w:r>
          </w:p>
          <w:p>
            <w:pPr>
              <w:widowControl/>
              <w:rPr>
                <w:rFonts w:hint="eastAsia" w:hAnsi="宋体" w:eastAsia="宋体" w:cs="宋体"/>
                <w:color w:val="auto"/>
                <w:sz w:val="18"/>
                <w:szCs w:val="18"/>
                <w:lang w:eastAsia="zh-CN"/>
              </w:rPr>
            </w:pPr>
            <w:r>
              <w:rPr>
                <w:rFonts w:hint="eastAsia" w:hAnsi="宋体" w:cs="宋体"/>
                <w:color w:val="auto"/>
                <w:sz w:val="18"/>
                <w:szCs w:val="18"/>
              </w:rPr>
              <w:t xml:space="preserve">平涂未打磨就扫油，扫油不均匀光滑、污染其他产品；                                             </w:t>
            </w:r>
          </w:p>
          <w:p>
            <w:pPr>
              <w:widowControl/>
              <w:rPr>
                <w:rFonts w:hint="eastAsia" w:hAnsi="宋体" w:eastAsia="宋体" w:cs="宋体"/>
                <w:color w:val="auto"/>
                <w:sz w:val="18"/>
                <w:szCs w:val="18"/>
                <w:lang w:eastAsia="zh-CN"/>
              </w:rPr>
            </w:pPr>
            <w:r>
              <w:rPr>
                <w:rFonts w:hint="eastAsia" w:hAnsi="宋体" w:cs="宋体"/>
                <w:color w:val="auto"/>
                <w:sz w:val="18"/>
                <w:szCs w:val="18"/>
              </w:rPr>
              <w:t xml:space="preserve">喷涂出现透底、流淌、起皮、未压花；                                                    </w:t>
            </w:r>
          </w:p>
          <w:p>
            <w:pPr>
              <w:widowControl/>
              <w:rPr>
                <w:rFonts w:hint="eastAsia" w:hAnsi="宋体" w:eastAsia="宋体" w:cs="宋体"/>
                <w:color w:val="auto"/>
                <w:sz w:val="18"/>
                <w:szCs w:val="18"/>
                <w:lang w:eastAsia="zh-CN"/>
              </w:rPr>
            </w:pPr>
            <w:r>
              <w:rPr>
                <w:rFonts w:hint="eastAsia" w:hAnsi="宋体" w:cs="宋体"/>
                <w:color w:val="auto"/>
                <w:sz w:val="18"/>
                <w:szCs w:val="18"/>
              </w:rPr>
              <w:t>外墙涂料出现色差、流坠、破损、不平整；</w:t>
            </w:r>
          </w:p>
          <w:p>
            <w:pPr>
              <w:widowControl/>
              <w:rPr>
                <w:rFonts w:hAnsi="宋体" w:cs="宋体"/>
                <w:color w:val="auto"/>
                <w:sz w:val="18"/>
                <w:szCs w:val="18"/>
              </w:rPr>
            </w:pPr>
            <w:r>
              <w:rPr>
                <w:rFonts w:hint="eastAsia" w:hAnsi="宋体" w:cs="宋体"/>
                <w:color w:val="auto"/>
                <w:sz w:val="18"/>
                <w:szCs w:val="18"/>
              </w:rPr>
              <w:t>外墙漆表面不平整、咬色、存在砂眼、划痕、漏喷等。</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500</w:t>
            </w:r>
          </w:p>
        </w:tc>
      </w:tr>
      <w:tr>
        <w:tblPrEx>
          <w:tblCellMar>
            <w:top w:w="0" w:type="dxa"/>
            <w:left w:w="108" w:type="dxa"/>
            <w:bottom w:w="0" w:type="dxa"/>
            <w:right w:w="108" w:type="dxa"/>
          </w:tblCellMar>
        </w:tblPrEx>
        <w:trPr>
          <w:trHeight w:val="570" w:hRule="atLeast"/>
        </w:trPr>
        <w:tc>
          <w:tcPr>
            <w:tcW w:w="833" w:type="dxa"/>
            <w:vMerge w:val="restar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after="240"/>
              <w:jc w:val="center"/>
              <w:rPr>
                <w:rFonts w:hAnsi="宋体" w:cs="宋体"/>
                <w:color w:val="auto"/>
                <w:sz w:val="18"/>
                <w:szCs w:val="18"/>
              </w:rPr>
            </w:pPr>
            <w:r>
              <w:rPr>
                <w:rFonts w:hint="eastAsia" w:hAnsi="宋体" w:cs="宋体"/>
                <w:color w:val="auto"/>
                <w:sz w:val="18"/>
                <w:szCs w:val="18"/>
              </w:rPr>
              <w:t>二、室内铺贴工程</w:t>
            </w:r>
          </w:p>
        </w:tc>
        <w:tc>
          <w:tcPr>
            <w:tcW w:w="615" w:type="dxa"/>
            <w:tcBorders>
              <w:top w:val="nil"/>
              <w:left w:val="nil"/>
              <w:bottom w:val="single" w:color="auto" w:sz="4" w:space="0"/>
              <w:right w:val="single" w:color="auto" w:sz="4" w:space="0"/>
            </w:tcBorders>
            <w:shd w:val="clear" w:color="000000" w:fill="FFFFFF"/>
            <w:noWrap w:val="0"/>
            <w:vAlign w:val="center"/>
          </w:tcPr>
          <w:p>
            <w:pPr>
              <w:widowControl/>
              <w:jc w:val="center"/>
              <w:rPr>
                <w:rFonts w:hint="eastAsia" w:hAnsi="宋体" w:eastAsia="宋体" w:cs="宋体"/>
                <w:color w:val="auto"/>
                <w:sz w:val="18"/>
                <w:szCs w:val="18"/>
                <w:lang w:eastAsia="zh-CN"/>
              </w:rPr>
            </w:pPr>
            <w:r>
              <w:rPr>
                <w:rFonts w:hint="eastAsia" w:hAnsi="宋体" w:cs="宋体"/>
                <w:color w:val="auto"/>
                <w:sz w:val="18"/>
                <w:szCs w:val="18"/>
              </w:rPr>
              <w:t>主控</w:t>
            </w:r>
          </w:p>
          <w:p>
            <w:pPr>
              <w:widowControl/>
              <w:jc w:val="center"/>
              <w:rPr>
                <w:rFonts w:hAnsi="宋体" w:cs="宋体"/>
                <w:color w:val="auto"/>
                <w:sz w:val="18"/>
                <w:szCs w:val="18"/>
              </w:rPr>
            </w:pPr>
            <w:r>
              <w:rPr>
                <w:rFonts w:hint="eastAsia" w:hAnsi="宋体" w:cs="宋体"/>
                <w:color w:val="auto"/>
                <w:sz w:val="18"/>
                <w:szCs w:val="18"/>
              </w:rPr>
              <w:t>项目</w:t>
            </w:r>
          </w:p>
        </w:tc>
        <w:tc>
          <w:tcPr>
            <w:tcW w:w="7716"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Ansi="宋体" w:cs="宋体"/>
                <w:color w:val="auto"/>
                <w:sz w:val="18"/>
                <w:szCs w:val="18"/>
              </w:rPr>
            </w:pPr>
            <w:r>
              <w:rPr>
                <w:rFonts w:hint="eastAsia" w:hAnsi="宋体" w:cs="宋体"/>
                <w:color w:val="auto"/>
                <w:sz w:val="18"/>
                <w:szCs w:val="18"/>
              </w:rPr>
              <w:t>品牌、材质、规格不符合设计或合同要求。</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1000</w:t>
            </w:r>
          </w:p>
        </w:tc>
      </w:tr>
      <w:tr>
        <w:tblPrEx>
          <w:tblCellMar>
            <w:top w:w="0" w:type="dxa"/>
            <w:left w:w="108" w:type="dxa"/>
            <w:bottom w:w="0" w:type="dxa"/>
            <w:right w:w="108" w:type="dxa"/>
          </w:tblCellMar>
        </w:tblPrEx>
        <w:trPr>
          <w:trHeight w:val="1260" w:hRule="atLeast"/>
        </w:trPr>
        <w:tc>
          <w:tcPr>
            <w:tcW w:w="833"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rPr>
                <w:rFonts w:hAnsi="宋体" w:cs="宋体"/>
                <w:color w:val="auto"/>
                <w:sz w:val="18"/>
                <w:szCs w:val="18"/>
              </w:rPr>
            </w:pPr>
          </w:p>
        </w:tc>
        <w:tc>
          <w:tcPr>
            <w:tcW w:w="615" w:type="dxa"/>
            <w:tcBorders>
              <w:top w:val="nil"/>
              <w:left w:val="nil"/>
              <w:bottom w:val="single" w:color="auto" w:sz="4" w:space="0"/>
              <w:right w:val="single" w:color="auto" w:sz="4" w:space="0"/>
            </w:tcBorders>
            <w:shd w:val="clear" w:color="000000" w:fill="FFFFFF"/>
            <w:noWrap w:val="0"/>
            <w:vAlign w:val="center"/>
          </w:tcPr>
          <w:p>
            <w:pPr>
              <w:widowControl/>
              <w:jc w:val="center"/>
              <w:rPr>
                <w:rFonts w:hint="eastAsia" w:hAnsi="宋体" w:eastAsia="宋体" w:cs="宋体"/>
                <w:color w:val="auto"/>
                <w:sz w:val="18"/>
                <w:szCs w:val="18"/>
                <w:lang w:eastAsia="zh-CN"/>
              </w:rPr>
            </w:pPr>
            <w:r>
              <w:rPr>
                <w:rFonts w:hint="eastAsia" w:hAnsi="宋体" w:cs="宋体"/>
                <w:color w:val="auto"/>
                <w:sz w:val="18"/>
                <w:szCs w:val="18"/>
              </w:rPr>
              <w:t>工艺</w:t>
            </w:r>
          </w:p>
          <w:p>
            <w:pPr>
              <w:widowControl/>
              <w:jc w:val="center"/>
              <w:rPr>
                <w:rFonts w:hAnsi="宋体" w:cs="宋体"/>
                <w:color w:val="auto"/>
                <w:sz w:val="18"/>
                <w:szCs w:val="18"/>
              </w:rPr>
            </w:pPr>
            <w:r>
              <w:rPr>
                <w:rFonts w:hint="eastAsia" w:hAnsi="宋体" w:cs="宋体"/>
                <w:color w:val="auto"/>
                <w:sz w:val="18"/>
                <w:szCs w:val="18"/>
              </w:rPr>
              <w:t>要求</w:t>
            </w:r>
          </w:p>
        </w:tc>
        <w:tc>
          <w:tcPr>
            <w:tcW w:w="7716"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int="eastAsia" w:hAnsi="宋体" w:eastAsia="宋体" w:cs="宋体"/>
                <w:color w:val="auto"/>
                <w:sz w:val="18"/>
                <w:szCs w:val="18"/>
                <w:lang w:eastAsia="zh-CN"/>
              </w:rPr>
            </w:pPr>
            <w:r>
              <w:rPr>
                <w:rFonts w:hint="eastAsia" w:hAnsi="宋体" w:cs="宋体"/>
                <w:color w:val="auto"/>
                <w:sz w:val="18"/>
                <w:szCs w:val="18"/>
              </w:rPr>
              <w:t>装修1m平水线错误的；</w:t>
            </w:r>
          </w:p>
          <w:p>
            <w:pPr>
              <w:widowControl/>
              <w:rPr>
                <w:rFonts w:hint="eastAsia" w:hAnsi="宋体" w:eastAsia="宋体" w:cs="宋体"/>
                <w:color w:val="auto"/>
                <w:sz w:val="18"/>
                <w:szCs w:val="18"/>
                <w:lang w:eastAsia="zh-CN"/>
              </w:rPr>
            </w:pPr>
            <w:r>
              <w:rPr>
                <w:rFonts w:hint="eastAsia" w:hAnsi="宋体" w:cs="宋体"/>
                <w:color w:val="auto"/>
                <w:sz w:val="18"/>
                <w:szCs w:val="18"/>
              </w:rPr>
              <w:t xml:space="preserve">铺贴未按图纸要求下料和排版；                                                                                                                  </w:t>
            </w:r>
          </w:p>
          <w:p>
            <w:pPr>
              <w:widowControl/>
              <w:rPr>
                <w:rFonts w:hAnsi="宋体" w:cs="宋体"/>
                <w:color w:val="auto"/>
                <w:sz w:val="18"/>
                <w:szCs w:val="18"/>
              </w:rPr>
            </w:pPr>
            <w:r>
              <w:rPr>
                <w:rFonts w:hint="eastAsia" w:hAnsi="宋体" w:cs="宋体"/>
                <w:color w:val="auto"/>
                <w:sz w:val="18"/>
                <w:szCs w:val="18"/>
              </w:rPr>
              <w:t xml:space="preserve">铺贴前未按要求浸水或冲洗背面粉尘。                                                             </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500</w:t>
            </w:r>
          </w:p>
        </w:tc>
      </w:tr>
      <w:tr>
        <w:tblPrEx>
          <w:tblCellMar>
            <w:top w:w="0" w:type="dxa"/>
            <w:left w:w="108" w:type="dxa"/>
            <w:bottom w:w="0" w:type="dxa"/>
            <w:right w:w="108" w:type="dxa"/>
          </w:tblCellMar>
        </w:tblPrEx>
        <w:trPr>
          <w:trHeight w:val="1875" w:hRule="atLeast"/>
        </w:trPr>
        <w:tc>
          <w:tcPr>
            <w:tcW w:w="833"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rPr>
                <w:rFonts w:hAnsi="宋体" w:cs="宋体"/>
                <w:color w:val="auto"/>
                <w:sz w:val="18"/>
                <w:szCs w:val="18"/>
              </w:rPr>
            </w:pPr>
          </w:p>
        </w:tc>
        <w:tc>
          <w:tcPr>
            <w:tcW w:w="615" w:type="dxa"/>
            <w:tcBorders>
              <w:top w:val="nil"/>
              <w:left w:val="nil"/>
              <w:bottom w:val="single" w:color="auto" w:sz="4" w:space="0"/>
              <w:right w:val="single" w:color="auto" w:sz="4" w:space="0"/>
            </w:tcBorders>
            <w:shd w:val="clear" w:color="000000" w:fill="FFFFFF"/>
            <w:noWrap w:val="0"/>
            <w:vAlign w:val="center"/>
          </w:tcPr>
          <w:p>
            <w:pPr>
              <w:widowControl/>
              <w:jc w:val="center"/>
              <w:rPr>
                <w:rFonts w:hint="eastAsia" w:hAnsi="宋体" w:eastAsia="宋体" w:cs="宋体"/>
                <w:color w:val="auto"/>
                <w:sz w:val="18"/>
                <w:szCs w:val="18"/>
                <w:lang w:eastAsia="zh-CN"/>
              </w:rPr>
            </w:pPr>
            <w:r>
              <w:rPr>
                <w:rFonts w:hint="eastAsia" w:hAnsi="宋体" w:cs="宋体"/>
                <w:color w:val="auto"/>
                <w:sz w:val="18"/>
                <w:szCs w:val="18"/>
              </w:rPr>
              <w:t>观感</w:t>
            </w:r>
          </w:p>
          <w:p>
            <w:pPr>
              <w:widowControl/>
              <w:jc w:val="center"/>
              <w:rPr>
                <w:rFonts w:hAnsi="宋体" w:cs="宋体"/>
                <w:color w:val="auto"/>
                <w:sz w:val="18"/>
                <w:szCs w:val="18"/>
              </w:rPr>
            </w:pPr>
            <w:r>
              <w:rPr>
                <w:rFonts w:hint="eastAsia" w:hAnsi="宋体" w:cs="宋体"/>
                <w:color w:val="auto"/>
                <w:sz w:val="18"/>
                <w:szCs w:val="18"/>
              </w:rPr>
              <w:t>质量</w:t>
            </w:r>
          </w:p>
        </w:tc>
        <w:tc>
          <w:tcPr>
            <w:tcW w:w="7716"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int="eastAsia" w:hAnsi="宋体" w:eastAsia="宋体" w:cs="宋体"/>
                <w:color w:val="auto"/>
                <w:sz w:val="18"/>
                <w:szCs w:val="18"/>
                <w:lang w:eastAsia="zh-CN"/>
              </w:rPr>
            </w:pPr>
            <w:r>
              <w:rPr>
                <w:rFonts w:hint="eastAsia" w:hAnsi="宋体" w:cs="宋体"/>
                <w:color w:val="auto"/>
                <w:sz w:val="18"/>
                <w:szCs w:val="18"/>
              </w:rPr>
              <w:t xml:space="preserve">铺贴大小头，用小条砖收口，铺贴平整度明显不符合要求； </w:t>
            </w:r>
          </w:p>
          <w:p>
            <w:pPr>
              <w:widowControl/>
              <w:rPr>
                <w:rFonts w:hint="eastAsia" w:hAnsi="宋体" w:eastAsia="宋体" w:cs="宋体"/>
                <w:color w:val="auto"/>
                <w:sz w:val="18"/>
                <w:szCs w:val="18"/>
                <w:lang w:eastAsia="zh-CN"/>
              </w:rPr>
            </w:pPr>
            <w:r>
              <w:rPr>
                <w:rFonts w:hint="eastAsia" w:hAnsi="宋体" w:cs="宋体"/>
                <w:color w:val="auto"/>
                <w:sz w:val="18"/>
                <w:szCs w:val="18"/>
              </w:rPr>
              <w:t xml:space="preserve">铺贴后材料有色差、污染、开裂、空鼓、崩烂；                    </w:t>
            </w:r>
          </w:p>
          <w:p>
            <w:pPr>
              <w:widowControl/>
              <w:rPr>
                <w:rFonts w:hint="eastAsia" w:hAnsi="宋体" w:eastAsia="宋体" w:cs="宋体"/>
                <w:color w:val="auto"/>
                <w:sz w:val="18"/>
                <w:szCs w:val="18"/>
                <w:lang w:eastAsia="zh-CN"/>
              </w:rPr>
            </w:pPr>
            <w:r>
              <w:rPr>
                <w:rFonts w:hint="eastAsia" w:hAnsi="宋体" w:cs="宋体"/>
                <w:color w:val="auto"/>
                <w:sz w:val="18"/>
                <w:szCs w:val="18"/>
              </w:rPr>
              <w:t xml:space="preserve">铺贴后无回缝或回缝质量差、收口差、缝隙不均匀；          </w:t>
            </w:r>
          </w:p>
          <w:p>
            <w:pPr>
              <w:widowControl/>
              <w:rPr>
                <w:rFonts w:hint="eastAsia" w:hAnsi="宋体" w:eastAsia="宋体" w:cs="宋体"/>
                <w:color w:val="auto"/>
                <w:sz w:val="18"/>
                <w:szCs w:val="18"/>
                <w:lang w:eastAsia="zh-CN"/>
              </w:rPr>
            </w:pPr>
            <w:r>
              <w:rPr>
                <w:rFonts w:hint="eastAsia" w:hAnsi="宋体" w:cs="宋体"/>
                <w:color w:val="auto"/>
                <w:sz w:val="18"/>
                <w:szCs w:val="18"/>
              </w:rPr>
              <w:t xml:space="preserve">地柜底部找平层低于铺贴面或未压光；      </w:t>
            </w:r>
          </w:p>
          <w:p>
            <w:pPr>
              <w:widowControl/>
              <w:rPr>
                <w:rFonts w:hint="eastAsia" w:hAnsi="宋体" w:eastAsia="宋体" w:cs="宋体"/>
                <w:color w:val="auto"/>
                <w:sz w:val="18"/>
                <w:szCs w:val="18"/>
                <w:lang w:eastAsia="zh-CN"/>
              </w:rPr>
            </w:pPr>
            <w:r>
              <w:rPr>
                <w:rFonts w:hint="eastAsia" w:hAnsi="宋体" w:cs="宋体"/>
                <w:color w:val="auto"/>
                <w:sz w:val="18"/>
                <w:szCs w:val="18"/>
              </w:rPr>
              <w:t>墙裙、踢脚线高度及厚度不一致；</w:t>
            </w:r>
          </w:p>
          <w:p>
            <w:pPr>
              <w:widowControl/>
              <w:rPr>
                <w:rFonts w:hAnsi="宋体" w:cs="宋体"/>
                <w:color w:val="auto"/>
                <w:sz w:val="18"/>
                <w:szCs w:val="18"/>
              </w:rPr>
            </w:pPr>
            <w:r>
              <w:rPr>
                <w:rFonts w:hint="eastAsia" w:hAnsi="宋体" w:cs="宋体"/>
                <w:color w:val="auto"/>
                <w:sz w:val="18"/>
                <w:szCs w:val="18"/>
              </w:rPr>
              <w:t xml:space="preserve">门槛石、窗台石未按要求施工。                                                     </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500</w:t>
            </w:r>
          </w:p>
        </w:tc>
      </w:tr>
      <w:tr>
        <w:tblPrEx>
          <w:tblCellMar>
            <w:top w:w="0" w:type="dxa"/>
            <w:left w:w="108" w:type="dxa"/>
            <w:bottom w:w="0" w:type="dxa"/>
            <w:right w:w="108" w:type="dxa"/>
          </w:tblCellMar>
        </w:tblPrEx>
        <w:trPr>
          <w:trHeight w:val="825" w:hRule="atLeast"/>
        </w:trPr>
        <w:tc>
          <w:tcPr>
            <w:tcW w:w="833" w:type="dxa"/>
            <w:vMerge w:val="restar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三、栏杆、扶手工程</w:t>
            </w:r>
          </w:p>
        </w:tc>
        <w:tc>
          <w:tcPr>
            <w:tcW w:w="615" w:type="dxa"/>
            <w:tcBorders>
              <w:top w:val="nil"/>
              <w:left w:val="nil"/>
              <w:bottom w:val="single" w:color="auto" w:sz="4" w:space="0"/>
              <w:right w:val="single" w:color="auto" w:sz="4" w:space="0"/>
            </w:tcBorders>
            <w:shd w:val="clear" w:color="000000" w:fill="FFFFFF"/>
            <w:noWrap w:val="0"/>
            <w:vAlign w:val="center"/>
          </w:tcPr>
          <w:p>
            <w:pPr>
              <w:widowControl/>
              <w:jc w:val="center"/>
              <w:rPr>
                <w:rFonts w:hint="eastAsia" w:hAnsi="宋体" w:eastAsia="宋体" w:cs="宋体"/>
                <w:color w:val="auto"/>
                <w:sz w:val="18"/>
                <w:szCs w:val="18"/>
                <w:lang w:eastAsia="zh-CN"/>
              </w:rPr>
            </w:pPr>
            <w:r>
              <w:rPr>
                <w:rFonts w:hint="eastAsia" w:hAnsi="宋体" w:cs="宋体"/>
                <w:color w:val="auto"/>
                <w:sz w:val="18"/>
                <w:szCs w:val="18"/>
              </w:rPr>
              <w:t>主控</w:t>
            </w:r>
          </w:p>
          <w:p>
            <w:pPr>
              <w:widowControl/>
              <w:jc w:val="center"/>
              <w:rPr>
                <w:rFonts w:hAnsi="宋体" w:cs="宋体"/>
                <w:color w:val="auto"/>
                <w:sz w:val="18"/>
                <w:szCs w:val="18"/>
              </w:rPr>
            </w:pPr>
            <w:r>
              <w:rPr>
                <w:rFonts w:hint="eastAsia" w:hAnsi="宋体" w:cs="宋体"/>
                <w:color w:val="auto"/>
                <w:sz w:val="18"/>
                <w:szCs w:val="18"/>
              </w:rPr>
              <w:t>项目</w:t>
            </w:r>
          </w:p>
        </w:tc>
        <w:tc>
          <w:tcPr>
            <w:tcW w:w="7716"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int="eastAsia" w:hAnsi="宋体" w:eastAsia="宋体" w:cs="宋体"/>
                <w:color w:val="auto"/>
                <w:sz w:val="18"/>
                <w:szCs w:val="18"/>
                <w:lang w:eastAsia="zh-CN"/>
              </w:rPr>
            </w:pPr>
            <w:r>
              <w:rPr>
                <w:rFonts w:hint="eastAsia" w:hAnsi="宋体" w:cs="宋体"/>
                <w:color w:val="auto"/>
                <w:sz w:val="18"/>
                <w:szCs w:val="18"/>
              </w:rPr>
              <w:t>品牌、材质、规格不符合设计或合同要求；</w:t>
            </w:r>
          </w:p>
          <w:p>
            <w:pPr>
              <w:widowControl/>
              <w:rPr>
                <w:rFonts w:hAnsi="宋体" w:cs="宋体"/>
                <w:color w:val="auto"/>
                <w:sz w:val="18"/>
                <w:szCs w:val="18"/>
              </w:rPr>
            </w:pPr>
            <w:r>
              <w:rPr>
                <w:rFonts w:hint="eastAsia" w:hAnsi="宋体" w:cs="宋体"/>
                <w:color w:val="auto"/>
                <w:sz w:val="18"/>
                <w:szCs w:val="18"/>
              </w:rPr>
              <w:t>室内楼梯、阳露台栏杆安装明显松脱、不牢固。</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1000</w:t>
            </w:r>
          </w:p>
        </w:tc>
      </w:tr>
      <w:tr>
        <w:tblPrEx>
          <w:tblCellMar>
            <w:top w:w="0" w:type="dxa"/>
            <w:left w:w="108" w:type="dxa"/>
            <w:bottom w:w="0" w:type="dxa"/>
            <w:right w:w="108" w:type="dxa"/>
          </w:tblCellMar>
        </w:tblPrEx>
        <w:trPr>
          <w:trHeight w:val="699" w:hRule="atLeast"/>
        </w:trPr>
        <w:tc>
          <w:tcPr>
            <w:tcW w:w="833"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rPr>
                <w:rFonts w:hAnsi="宋体" w:cs="宋体"/>
                <w:color w:val="auto"/>
                <w:sz w:val="18"/>
                <w:szCs w:val="18"/>
              </w:rPr>
            </w:pPr>
          </w:p>
        </w:tc>
        <w:tc>
          <w:tcPr>
            <w:tcW w:w="615" w:type="dxa"/>
            <w:tcBorders>
              <w:top w:val="nil"/>
              <w:left w:val="nil"/>
              <w:bottom w:val="single" w:color="auto" w:sz="4" w:space="0"/>
              <w:right w:val="single" w:color="auto" w:sz="4" w:space="0"/>
            </w:tcBorders>
            <w:shd w:val="clear" w:color="000000" w:fill="FFFFFF"/>
            <w:noWrap w:val="0"/>
            <w:vAlign w:val="center"/>
          </w:tcPr>
          <w:p>
            <w:pPr>
              <w:widowControl/>
              <w:jc w:val="center"/>
              <w:rPr>
                <w:rFonts w:hint="eastAsia" w:hAnsi="宋体" w:eastAsia="宋体" w:cs="宋体"/>
                <w:color w:val="auto"/>
                <w:sz w:val="18"/>
                <w:szCs w:val="18"/>
                <w:lang w:eastAsia="zh-CN"/>
              </w:rPr>
            </w:pPr>
            <w:r>
              <w:rPr>
                <w:rFonts w:hint="eastAsia" w:hAnsi="宋体" w:cs="宋体"/>
                <w:color w:val="auto"/>
                <w:sz w:val="18"/>
                <w:szCs w:val="18"/>
              </w:rPr>
              <w:t>工艺</w:t>
            </w:r>
          </w:p>
          <w:p>
            <w:pPr>
              <w:widowControl/>
              <w:jc w:val="center"/>
              <w:rPr>
                <w:rFonts w:hAnsi="宋体" w:cs="宋体"/>
                <w:color w:val="auto"/>
                <w:sz w:val="18"/>
                <w:szCs w:val="18"/>
              </w:rPr>
            </w:pPr>
            <w:r>
              <w:rPr>
                <w:rFonts w:hint="eastAsia" w:hAnsi="宋体" w:cs="宋体"/>
                <w:color w:val="auto"/>
                <w:sz w:val="18"/>
                <w:szCs w:val="18"/>
              </w:rPr>
              <w:t>要求</w:t>
            </w:r>
          </w:p>
        </w:tc>
        <w:tc>
          <w:tcPr>
            <w:tcW w:w="7716"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int="eastAsia" w:hAnsi="宋体" w:eastAsia="宋体" w:cs="宋体"/>
                <w:color w:val="auto"/>
                <w:sz w:val="18"/>
                <w:szCs w:val="18"/>
                <w:lang w:eastAsia="zh-CN"/>
              </w:rPr>
            </w:pPr>
            <w:r>
              <w:rPr>
                <w:rFonts w:hint="eastAsia" w:hAnsi="宋体" w:cs="宋体"/>
                <w:color w:val="auto"/>
                <w:sz w:val="18"/>
                <w:szCs w:val="18"/>
              </w:rPr>
              <w:t>楼梯扶手、阳露台栏杆的有效高度，净空间距不符合设计和规范要求；</w:t>
            </w:r>
          </w:p>
          <w:p>
            <w:pPr>
              <w:widowControl/>
              <w:rPr>
                <w:rFonts w:hint="eastAsia" w:hAnsi="宋体" w:eastAsia="宋体" w:cs="宋体"/>
                <w:color w:val="auto"/>
                <w:sz w:val="18"/>
                <w:szCs w:val="18"/>
                <w:lang w:eastAsia="zh-CN"/>
              </w:rPr>
            </w:pPr>
            <w:r>
              <w:rPr>
                <w:rFonts w:hint="eastAsia" w:hAnsi="宋体" w:cs="宋体"/>
                <w:color w:val="auto"/>
                <w:sz w:val="18"/>
                <w:szCs w:val="18"/>
              </w:rPr>
              <w:t xml:space="preserve">木扶手底未按要求固定扁铁；  </w:t>
            </w:r>
          </w:p>
          <w:p>
            <w:pPr>
              <w:widowControl/>
              <w:rPr>
                <w:rFonts w:hint="eastAsia" w:hAnsi="宋体" w:eastAsia="宋体" w:cs="宋体"/>
                <w:color w:val="auto"/>
                <w:sz w:val="18"/>
                <w:szCs w:val="18"/>
                <w:lang w:eastAsia="zh-CN"/>
              </w:rPr>
            </w:pPr>
            <w:r>
              <w:rPr>
                <w:rFonts w:hint="eastAsia" w:hAnsi="宋体" w:cs="宋体"/>
                <w:color w:val="auto"/>
                <w:sz w:val="18"/>
                <w:szCs w:val="18"/>
              </w:rPr>
              <w:t xml:space="preserve">扶手转角处的处理不符合规范及设计要求；                                   </w:t>
            </w:r>
          </w:p>
          <w:p>
            <w:pPr>
              <w:widowControl/>
              <w:rPr>
                <w:rFonts w:hint="eastAsia" w:hAnsi="宋体" w:cs="宋体"/>
                <w:color w:val="auto"/>
                <w:sz w:val="18"/>
                <w:szCs w:val="18"/>
              </w:rPr>
            </w:pPr>
            <w:r>
              <w:rPr>
                <w:rFonts w:hint="eastAsia" w:hAnsi="宋体" w:cs="宋体"/>
                <w:color w:val="auto"/>
                <w:sz w:val="18"/>
                <w:szCs w:val="18"/>
              </w:rPr>
              <w:t>预埋件的数量、规格、位置、埋置深度、连接工艺等不符合要求；</w:t>
            </w:r>
          </w:p>
          <w:p>
            <w:pPr>
              <w:widowControl/>
              <w:rPr>
                <w:rFonts w:hAnsi="宋体" w:cs="宋体"/>
                <w:color w:val="auto"/>
                <w:sz w:val="18"/>
                <w:szCs w:val="18"/>
              </w:rPr>
            </w:pPr>
            <w:r>
              <w:rPr>
                <w:rFonts w:hint="eastAsia" w:hAnsi="宋体" w:cs="宋体"/>
                <w:color w:val="auto"/>
                <w:sz w:val="18"/>
                <w:szCs w:val="18"/>
              </w:rPr>
              <w:t xml:space="preserve">铁艺部分未按要求焊接及防锈处理。                   </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500</w:t>
            </w:r>
          </w:p>
        </w:tc>
      </w:tr>
      <w:tr>
        <w:tblPrEx>
          <w:tblCellMar>
            <w:top w:w="0" w:type="dxa"/>
            <w:left w:w="108" w:type="dxa"/>
            <w:bottom w:w="0" w:type="dxa"/>
            <w:right w:w="108" w:type="dxa"/>
          </w:tblCellMar>
        </w:tblPrEx>
        <w:trPr>
          <w:trHeight w:val="1020" w:hRule="atLeast"/>
        </w:trPr>
        <w:tc>
          <w:tcPr>
            <w:tcW w:w="833"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rPr>
                <w:rFonts w:hAnsi="宋体" w:cs="宋体"/>
                <w:color w:val="auto"/>
                <w:sz w:val="18"/>
                <w:szCs w:val="18"/>
              </w:rPr>
            </w:pPr>
          </w:p>
        </w:tc>
        <w:tc>
          <w:tcPr>
            <w:tcW w:w="615" w:type="dxa"/>
            <w:tcBorders>
              <w:top w:val="nil"/>
              <w:left w:val="nil"/>
              <w:bottom w:val="single" w:color="auto" w:sz="4" w:space="0"/>
              <w:right w:val="single" w:color="auto" w:sz="4" w:space="0"/>
            </w:tcBorders>
            <w:shd w:val="clear" w:color="000000" w:fill="FFFFFF"/>
            <w:noWrap w:val="0"/>
            <w:vAlign w:val="center"/>
          </w:tcPr>
          <w:p>
            <w:pPr>
              <w:widowControl/>
              <w:jc w:val="center"/>
              <w:rPr>
                <w:rFonts w:hint="eastAsia" w:hAnsi="宋体" w:eastAsia="宋体" w:cs="宋体"/>
                <w:color w:val="auto"/>
                <w:sz w:val="18"/>
                <w:szCs w:val="18"/>
                <w:lang w:eastAsia="zh-CN"/>
              </w:rPr>
            </w:pPr>
            <w:r>
              <w:rPr>
                <w:rFonts w:hint="eastAsia" w:hAnsi="宋体" w:cs="宋体"/>
                <w:color w:val="auto"/>
                <w:sz w:val="18"/>
                <w:szCs w:val="18"/>
              </w:rPr>
              <w:t>观感</w:t>
            </w:r>
          </w:p>
          <w:p>
            <w:pPr>
              <w:widowControl/>
              <w:jc w:val="center"/>
              <w:rPr>
                <w:rFonts w:hAnsi="宋体" w:cs="宋体"/>
                <w:color w:val="auto"/>
                <w:sz w:val="18"/>
                <w:szCs w:val="18"/>
              </w:rPr>
            </w:pPr>
            <w:r>
              <w:rPr>
                <w:rFonts w:hint="eastAsia" w:hAnsi="宋体" w:cs="宋体"/>
                <w:color w:val="auto"/>
                <w:sz w:val="18"/>
                <w:szCs w:val="18"/>
              </w:rPr>
              <w:t>质量</w:t>
            </w:r>
          </w:p>
        </w:tc>
        <w:tc>
          <w:tcPr>
            <w:tcW w:w="7716"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int="eastAsia" w:hAnsi="宋体" w:cs="宋体"/>
                <w:color w:val="auto"/>
                <w:sz w:val="18"/>
                <w:szCs w:val="18"/>
              </w:rPr>
            </w:pPr>
            <w:r>
              <w:rPr>
                <w:rFonts w:hint="eastAsia" w:hAnsi="宋体" w:cs="宋体"/>
                <w:color w:val="auto"/>
                <w:sz w:val="18"/>
                <w:szCs w:val="18"/>
              </w:rPr>
              <w:t>栏杆、扶手不平直、顺滑、有明显弯曲、起泡、皱皮、色差现象；</w:t>
            </w:r>
          </w:p>
          <w:p>
            <w:pPr>
              <w:widowControl/>
              <w:rPr>
                <w:rFonts w:hint="eastAsia" w:hAnsi="宋体" w:eastAsia="宋体" w:cs="宋体"/>
                <w:color w:val="auto"/>
                <w:sz w:val="18"/>
                <w:szCs w:val="18"/>
                <w:lang w:eastAsia="zh-CN"/>
              </w:rPr>
            </w:pPr>
            <w:r>
              <w:rPr>
                <w:rFonts w:hint="eastAsia" w:hAnsi="宋体" w:cs="宋体"/>
                <w:color w:val="auto"/>
                <w:sz w:val="18"/>
                <w:szCs w:val="18"/>
              </w:rPr>
              <w:t xml:space="preserve">木扶手的拼接处有明显的钉眼痕迹；                                                </w:t>
            </w:r>
          </w:p>
          <w:p>
            <w:pPr>
              <w:widowControl/>
              <w:rPr>
                <w:rFonts w:hAnsi="宋体" w:cs="宋体"/>
                <w:color w:val="auto"/>
                <w:sz w:val="18"/>
                <w:szCs w:val="18"/>
              </w:rPr>
            </w:pPr>
            <w:r>
              <w:rPr>
                <w:rFonts w:hint="eastAsia" w:hAnsi="宋体" w:cs="宋体"/>
                <w:color w:val="auto"/>
                <w:sz w:val="18"/>
                <w:szCs w:val="18"/>
              </w:rPr>
              <w:t xml:space="preserve">铁艺焊口未打磨光滑、油漆不光洁美观、未安装收口盖。                 </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500</w:t>
            </w:r>
          </w:p>
        </w:tc>
      </w:tr>
      <w:tr>
        <w:tblPrEx>
          <w:tblCellMar>
            <w:top w:w="0" w:type="dxa"/>
            <w:left w:w="108" w:type="dxa"/>
            <w:bottom w:w="0" w:type="dxa"/>
            <w:right w:w="108" w:type="dxa"/>
          </w:tblCellMar>
        </w:tblPrEx>
        <w:trPr>
          <w:trHeight w:val="326" w:hRule="atLeast"/>
        </w:trPr>
        <w:tc>
          <w:tcPr>
            <w:tcW w:w="833" w:type="dxa"/>
            <w:vMerge w:val="restart"/>
            <w:tcBorders>
              <w:top w:val="nil"/>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四、吊顶、隔墙工程</w:t>
            </w:r>
          </w:p>
        </w:tc>
        <w:tc>
          <w:tcPr>
            <w:tcW w:w="615" w:type="dxa"/>
            <w:vMerge w:val="restart"/>
            <w:tcBorders>
              <w:top w:val="nil"/>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hAnsi="宋体" w:eastAsia="宋体" w:cs="宋体"/>
                <w:color w:val="auto"/>
                <w:sz w:val="18"/>
                <w:szCs w:val="18"/>
                <w:lang w:eastAsia="zh-CN"/>
              </w:rPr>
            </w:pPr>
            <w:r>
              <w:rPr>
                <w:rFonts w:hint="eastAsia" w:hAnsi="宋体" w:cs="宋体"/>
                <w:color w:val="auto"/>
                <w:sz w:val="18"/>
                <w:szCs w:val="18"/>
              </w:rPr>
              <w:t>主控</w:t>
            </w:r>
          </w:p>
          <w:p>
            <w:pPr>
              <w:widowControl/>
              <w:jc w:val="center"/>
              <w:rPr>
                <w:rFonts w:hAnsi="宋体" w:cs="宋体"/>
                <w:color w:val="auto"/>
                <w:sz w:val="18"/>
                <w:szCs w:val="18"/>
              </w:rPr>
            </w:pPr>
            <w:r>
              <w:rPr>
                <w:rFonts w:hint="eastAsia" w:hAnsi="宋体" w:cs="宋体"/>
                <w:color w:val="auto"/>
                <w:sz w:val="18"/>
                <w:szCs w:val="18"/>
              </w:rPr>
              <w:t>项目</w:t>
            </w:r>
          </w:p>
        </w:tc>
        <w:tc>
          <w:tcPr>
            <w:tcW w:w="7716" w:type="dxa"/>
            <w:vMerge w:val="restart"/>
            <w:tcBorders>
              <w:top w:val="nil"/>
              <w:left w:val="single" w:color="auto" w:sz="4" w:space="0"/>
              <w:bottom w:val="single" w:color="auto" w:sz="4" w:space="0"/>
              <w:right w:val="single" w:color="auto" w:sz="4" w:space="0"/>
            </w:tcBorders>
            <w:shd w:val="clear" w:color="000000" w:fill="FFFFFF"/>
            <w:noWrap w:val="0"/>
            <w:vAlign w:val="center"/>
          </w:tcPr>
          <w:p>
            <w:pPr>
              <w:widowControl/>
              <w:rPr>
                <w:rFonts w:hint="eastAsia" w:hAnsi="宋体" w:eastAsia="宋体" w:cs="宋体"/>
                <w:color w:val="auto"/>
                <w:sz w:val="18"/>
                <w:szCs w:val="18"/>
                <w:lang w:eastAsia="zh-CN"/>
              </w:rPr>
            </w:pPr>
            <w:r>
              <w:rPr>
                <w:rFonts w:hint="eastAsia" w:hAnsi="宋体" w:cs="宋体"/>
                <w:color w:val="auto"/>
                <w:sz w:val="18"/>
                <w:szCs w:val="18"/>
              </w:rPr>
              <w:t>品牌、材质、规格不符合设计或合同要求；</w:t>
            </w:r>
          </w:p>
          <w:p>
            <w:pPr>
              <w:widowControl/>
              <w:rPr>
                <w:rFonts w:hAnsi="宋体" w:cs="宋体"/>
                <w:color w:val="auto"/>
                <w:sz w:val="18"/>
                <w:szCs w:val="18"/>
              </w:rPr>
            </w:pPr>
            <w:r>
              <w:rPr>
                <w:rFonts w:hint="eastAsia" w:hAnsi="宋体" w:cs="宋体"/>
                <w:color w:val="auto"/>
                <w:sz w:val="18"/>
                <w:szCs w:val="18"/>
              </w:rPr>
              <w:t>不同材质交接处或板材间交接处未采取有效防开裂措施及吊顶转角处未按要求采用“L”型开料或双层板处理。</w:t>
            </w:r>
          </w:p>
        </w:tc>
        <w:tc>
          <w:tcPr>
            <w:tcW w:w="705" w:type="dxa"/>
            <w:vMerge w:val="restart"/>
            <w:tcBorders>
              <w:top w:val="nil"/>
              <w:left w:val="single" w:color="auto" w:sz="4" w:space="0"/>
              <w:bottom w:val="single" w:color="000000"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1000</w:t>
            </w:r>
          </w:p>
        </w:tc>
      </w:tr>
      <w:tr>
        <w:tblPrEx>
          <w:tblCellMar>
            <w:top w:w="0" w:type="dxa"/>
            <w:left w:w="108" w:type="dxa"/>
            <w:bottom w:w="0" w:type="dxa"/>
            <w:right w:w="108" w:type="dxa"/>
          </w:tblCellMar>
        </w:tblPrEx>
        <w:trPr>
          <w:trHeight w:val="840" w:hRule="atLeast"/>
        </w:trPr>
        <w:tc>
          <w:tcPr>
            <w:tcW w:w="833" w:type="dxa"/>
            <w:vMerge w:val="continue"/>
            <w:tcBorders>
              <w:top w:val="nil"/>
              <w:left w:val="single" w:color="auto" w:sz="4" w:space="0"/>
              <w:bottom w:val="single" w:color="auto" w:sz="4" w:space="0"/>
              <w:right w:val="single" w:color="auto" w:sz="4" w:space="0"/>
            </w:tcBorders>
            <w:noWrap w:val="0"/>
            <w:vAlign w:val="center"/>
          </w:tcPr>
          <w:p>
            <w:pPr>
              <w:widowControl/>
              <w:rPr>
                <w:rFonts w:hAnsi="宋体" w:cs="宋体"/>
                <w:color w:val="auto"/>
                <w:sz w:val="18"/>
                <w:szCs w:val="18"/>
              </w:rPr>
            </w:pPr>
          </w:p>
        </w:tc>
        <w:tc>
          <w:tcPr>
            <w:tcW w:w="615" w:type="dxa"/>
            <w:vMerge w:val="continue"/>
            <w:tcBorders>
              <w:top w:val="nil"/>
              <w:left w:val="single" w:color="auto" w:sz="4" w:space="0"/>
              <w:bottom w:val="single" w:color="auto" w:sz="4" w:space="0"/>
              <w:right w:val="single" w:color="auto" w:sz="4" w:space="0"/>
            </w:tcBorders>
            <w:noWrap w:val="0"/>
            <w:vAlign w:val="center"/>
          </w:tcPr>
          <w:p>
            <w:pPr>
              <w:widowControl/>
              <w:rPr>
                <w:rFonts w:hAnsi="宋体" w:cs="宋体"/>
                <w:color w:val="auto"/>
                <w:sz w:val="18"/>
                <w:szCs w:val="18"/>
              </w:rPr>
            </w:pPr>
          </w:p>
        </w:tc>
        <w:tc>
          <w:tcPr>
            <w:tcW w:w="7716" w:type="dxa"/>
            <w:vMerge w:val="continue"/>
            <w:tcBorders>
              <w:top w:val="nil"/>
              <w:left w:val="single" w:color="auto" w:sz="4" w:space="0"/>
              <w:bottom w:val="single" w:color="auto" w:sz="4" w:space="0"/>
              <w:right w:val="single" w:color="auto" w:sz="4" w:space="0"/>
            </w:tcBorders>
            <w:noWrap w:val="0"/>
            <w:vAlign w:val="center"/>
          </w:tcPr>
          <w:p>
            <w:pPr>
              <w:widowControl/>
              <w:rPr>
                <w:rFonts w:hAnsi="宋体" w:cs="宋体"/>
                <w:color w:val="auto"/>
                <w:sz w:val="18"/>
                <w:szCs w:val="18"/>
              </w:rPr>
            </w:pPr>
          </w:p>
        </w:tc>
        <w:tc>
          <w:tcPr>
            <w:tcW w:w="705" w:type="dxa"/>
            <w:vMerge w:val="continue"/>
            <w:tcBorders>
              <w:top w:val="nil"/>
              <w:left w:val="single" w:color="auto" w:sz="4" w:space="0"/>
              <w:bottom w:val="single" w:color="000000" w:sz="4" w:space="0"/>
              <w:right w:val="single" w:color="auto" w:sz="4" w:space="0"/>
            </w:tcBorders>
            <w:noWrap w:val="0"/>
            <w:vAlign w:val="center"/>
          </w:tcPr>
          <w:p>
            <w:pPr>
              <w:widowControl/>
              <w:rPr>
                <w:rFonts w:hAnsi="宋体" w:cs="宋体"/>
                <w:color w:val="auto"/>
                <w:sz w:val="18"/>
                <w:szCs w:val="18"/>
              </w:rPr>
            </w:pPr>
          </w:p>
        </w:tc>
      </w:tr>
      <w:tr>
        <w:tblPrEx>
          <w:tblCellMar>
            <w:top w:w="0" w:type="dxa"/>
            <w:left w:w="108" w:type="dxa"/>
            <w:bottom w:w="0" w:type="dxa"/>
            <w:right w:w="108" w:type="dxa"/>
          </w:tblCellMar>
        </w:tblPrEx>
        <w:trPr>
          <w:trHeight w:val="3480" w:hRule="atLeast"/>
        </w:trPr>
        <w:tc>
          <w:tcPr>
            <w:tcW w:w="833"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color w:val="auto"/>
                <w:sz w:val="18"/>
                <w:szCs w:val="18"/>
              </w:rPr>
            </w:pPr>
          </w:p>
        </w:tc>
        <w:tc>
          <w:tcPr>
            <w:tcW w:w="615" w:type="dxa"/>
            <w:tcBorders>
              <w:top w:val="nil"/>
              <w:left w:val="nil"/>
              <w:bottom w:val="single" w:color="auto" w:sz="4" w:space="0"/>
              <w:right w:val="single" w:color="auto" w:sz="4" w:space="0"/>
            </w:tcBorders>
            <w:shd w:val="clear" w:color="000000" w:fill="FFFFFF"/>
            <w:noWrap w:val="0"/>
            <w:vAlign w:val="center"/>
          </w:tcPr>
          <w:p>
            <w:pPr>
              <w:widowControl/>
              <w:jc w:val="center"/>
              <w:rPr>
                <w:rFonts w:hint="eastAsia" w:hAnsi="宋体" w:eastAsia="宋体" w:cs="宋体"/>
                <w:color w:val="auto"/>
                <w:sz w:val="18"/>
                <w:szCs w:val="18"/>
                <w:lang w:eastAsia="zh-CN"/>
              </w:rPr>
            </w:pPr>
            <w:r>
              <w:rPr>
                <w:rFonts w:hint="eastAsia" w:hAnsi="宋体" w:cs="宋体"/>
                <w:color w:val="auto"/>
                <w:sz w:val="18"/>
                <w:szCs w:val="18"/>
              </w:rPr>
              <w:t>工艺</w:t>
            </w:r>
          </w:p>
          <w:p>
            <w:pPr>
              <w:widowControl/>
              <w:jc w:val="center"/>
              <w:rPr>
                <w:rFonts w:hAnsi="宋体" w:cs="宋体"/>
                <w:color w:val="auto"/>
                <w:sz w:val="18"/>
                <w:szCs w:val="18"/>
              </w:rPr>
            </w:pPr>
            <w:r>
              <w:rPr>
                <w:rFonts w:hint="eastAsia" w:hAnsi="宋体" w:cs="宋体"/>
                <w:color w:val="auto"/>
                <w:sz w:val="18"/>
                <w:szCs w:val="18"/>
              </w:rPr>
              <w:t>要求</w:t>
            </w:r>
          </w:p>
        </w:tc>
        <w:tc>
          <w:tcPr>
            <w:tcW w:w="7716"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int="eastAsia" w:hAnsi="宋体" w:eastAsia="宋体" w:cs="宋体"/>
                <w:color w:val="auto"/>
                <w:sz w:val="18"/>
                <w:szCs w:val="18"/>
                <w:lang w:eastAsia="zh-CN"/>
              </w:rPr>
            </w:pPr>
            <w:r>
              <w:rPr>
                <w:rFonts w:hint="eastAsia" w:hAnsi="宋体" w:cs="宋体"/>
                <w:color w:val="auto"/>
                <w:sz w:val="18"/>
                <w:szCs w:val="18"/>
              </w:rPr>
              <w:t xml:space="preserve">吊顶施工不按要求钻孔造成渗漏； </w:t>
            </w:r>
          </w:p>
          <w:p>
            <w:pPr>
              <w:widowControl/>
              <w:rPr>
                <w:rFonts w:hint="eastAsia" w:hAnsi="宋体" w:eastAsia="宋体" w:cs="宋体"/>
                <w:color w:val="auto"/>
                <w:sz w:val="18"/>
                <w:szCs w:val="18"/>
                <w:lang w:eastAsia="zh-CN"/>
              </w:rPr>
            </w:pPr>
            <w:r>
              <w:rPr>
                <w:rFonts w:hint="eastAsia" w:hAnsi="宋体" w:cs="宋体"/>
                <w:color w:val="auto"/>
                <w:sz w:val="18"/>
                <w:szCs w:val="18"/>
              </w:rPr>
              <w:t>开灯位时切断次主龙骨；</w:t>
            </w:r>
          </w:p>
          <w:p>
            <w:pPr>
              <w:widowControl/>
              <w:rPr>
                <w:rFonts w:hint="eastAsia" w:hAnsi="宋体" w:eastAsia="宋体" w:cs="宋体"/>
                <w:color w:val="auto"/>
                <w:sz w:val="18"/>
                <w:szCs w:val="18"/>
                <w:lang w:eastAsia="zh-CN"/>
              </w:rPr>
            </w:pPr>
            <w:r>
              <w:rPr>
                <w:rFonts w:hint="eastAsia" w:hAnsi="宋体" w:cs="宋体"/>
                <w:color w:val="auto"/>
                <w:sz w:val="18"/>
                <w:szCs w:val="18"/>
              </w:rPr>
              <w:t xml:space="preserve">吊杆、龙骨及板材线等安装间距、连接、吊杆反支撑、固定方式不符合设计及规范要求；                                                                                                预埋件、连接件位置、数量及连接方法不符合要求；                                                                                                                      </w:t>
            </w:r>
          </w:p>
          <w:p>
            <w:pPr>
              <w:widowControl/>
              <w:rPr>
                <w:rFonts w:hint="eastAsia" w:hAnsi="宋体" w:eastAsia="宋体" w:cs="宋体"/>
                <w:color w:val="auto"/>
                <w:sz w:val="18"/>
                <w:szCs w:val="18"/>
                <w:lang w:eastAsia="zh-CN"/>
              </w:rPr>
            </w:pPr>
            <w:r>
              <w:rPr>
                <w:rFonts w:hint="eastAsia" w:hAnsi="宋体" w:cs="宋体"/>
                <w:color w:val="auto"/>
                <w:sz w:val="18"/>
                <w:szCs w:val="18"/>
              </w:rPr>
              <w:t xml:space="preserve">重型灯具及设备未单独安装吊杆而直接安装在龙骨上；                         </w:t>
            </w:r>
          </w:p>
          <w:p>
            <w:pPr>
              <w:widowControl/>
              <w:rPr>
                <w:rFonts w:hint="eastAsia" w:hAnsi="宋体" w:eastAsia="宋体" w:cs="宋体"/>
                <w:color w:val="auto"/>
                <w:sz w:val="18"/>
                <w:szCs w:val="18"/>
                <w:lang w:eastAsia="zh-CN"/>
              </w:rPr>
            </w:pPr>
            <w:r>
              <w:rPr>
                <w:rFonts w:hint="eastAsia" w:hAnsi="宋体" w:cs="宋体"/>
                <w:color w:val="auto"/>
                <w:sz w:val="18"/>
                <w:szCs w:val="18"/>
              </w:rPr>
              <w:t>自攻螺丝距板边过近造成板边崩损；</w:t>
            </w:r>
          </w:p>
          <w:p>
            <w:pPr>
              <w:widowControl/>
              <w:rPr>
                <w:rFonts w:hint="eastAsia" w:hAnsi="宋体" w:eastAsia="宋体" w:cs="宋体"/>
                <w:color w:val="auto"/>
                <w:sz w:val="18"/>
                <w:szCs w:val="18"/>
                <w:lang w:eastAsia="zh-CN"/>
              </w:rPr>
            </w:pPr>
            <w:r>
              <w:rPr>
                <w:rFonts w:hint="eastAsia" w:hAnsi="宋体" w:cs="宋体"/>
                <w:color w:val="auto"/>
                <w:sz w:val="18"/>
                <w:szCs w:val="18"/>
              </w:rPr>
              <w:t xml:space="preserve">各部件及五金未做好防锈、防火、防腐处理；                                                                 </w:t>
            </w:r>
          </w:p>
          <w:p>
            <w:pPr>
              <w:widowControl/>
              <w:rPr>
                <w:rFonts w:hint="eastAsia" w:hAnsi="宋体" w:eastAsia="宋体" w:cs="宋体"/>
                <w:color w:val="auto"/>
                <w:sz w:val="18"/>
                <w:szCs w:val="18"/>
                <w:lang w:eastAsia="zh-CN"/>
              </w:rPr>
            </w:pPr>
            <w:r>
              <w:rPr>
                <w:rFonts w:hint="eastAsia" w:hAnsi="宋体" w:cs="宋体"/>
                <w:color w:val="auto"/>
                <w:sz w:val="18"/>
                <w:szCs w:val="18"/>
              </w:rPr>
              <w:t xml:space="preserve">饰面板与主体结构未预留3mm防开裂处理缝；                                  </w:t>
            </w:r>
          </w:p>
          <w:p>
            <w:pPr>
              <w:widowControl/>
              <w:rPr>
                <w:rFonts w:hint="eastAsia" w:hAnsi="宋体" w:eastAsia="宋体" w:cs="宋体"/>
                <w:color w:val="auto"/>
                <w:sz w:val="18"/>
                <w:szCs w:val="18"/>
                <w:lang w:eastAsia="zh-CN"/>
              </w:rPr>
            </w:pPr>
            <w:r>
              <w:rPr>
                <w:rFonts w:hint="eastAsia" w:hAnsi="宋体" w:cs="宋体"/>
                <w:color w:val="auto"/>
                <w:sz w:val="18"/>
                <w:szCs w:val="18"/>
              </w:rPr>
              <w:t xml:space="preserve">未采用开孔器开灯位；                                                               </w:t>
            </w:r>
          </w:p>
          <w:p>
            <w:pPr>
              <w:widowControl/>
              <w:rPr>
                <w:rFonts w:hAnsi="宋体" w:cs="宋体"/>
                <w:color w:val="auto"/>
                <w:sz w:val="18"/>
                <w:szCs w:val="18"/>
              </w:rPr>
            </w:pPr>
            <w:r>
              <w:rPr>
                <w:rFonts w:hint="eastAsia" w:hAnsi="宋体" w:cs="宋体"/>
                <w:color w:val="auto"/>
                <w:sz w:val="18"/>
                <w:szCs w:val="18"/>
              </w:rPr>
              <w:t xml:space="preserve">窗帘盒未按设计要求固定。                                                                                               </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500</w:t>
            </w:r>
          </w:p>
        </w:tc>
      </w:tr>
      <w:tr>
        <w:tblPrEx>
          <w:tblCellMar>
            <w:top w:w="0" w:type="dxa"/>
            <w:left w:w="108" w:type="dxa"/>
            <w:bottom w:w="0" w:type="dxa"/>
            <w:right w:w="108" w:type="dxa"/>
          </w:tblCellMar>
        </w:tblPrEx>
        <w:trPr>
          <w:trHeight w:val="2055" w:hRule="atLeast"/>
        </w:trPr>
        <w:tc>
          <w:tcPr>
            <w:tcW w:w="833" w:type="dxa"/>
            <w:vMerge w:val="continue"/>
            <w:tcBorders>
              <w:top w:val="nil"/>
              <w:left w:val="single" w:color="auto" w:sz="4" w:space="0"/>
              <w:bottom w:val="single" w:color="auto" w:sz="4" w:space="0"/>
              <w:right w:val="single" w:color="auto" w:sz="4" w:space="0"/>
            </w:tcBorders>
            <w:shd w:val="clear" w:color="auto" w:fill="auto"/>
            <w:noWrap w:val="0"/>
            <w:vAlign w:val="center"/>
          </w:tcPr>
          <w:p>
            <w:pPr>
              <w:widowControl/>
              <w:rPr>
                <w:rFonts w:hAnsi="宋体" w:cs="宋体"/>
                <w:color w:val="auto"/>
                <w:sz w:val="18"/>
                <w:szCs w:val="18"/>
              </w:rPr>
            </w:pPr>
          </w:p>
        </w:tc>
        <w:tc>
          <w:tcPr>
            <w:tcW w:w="615" w:type="dxa"/>
            <w:tcBorders>
              <w:top w:val="nil"/>
              <w:left w:val="nil"/>
              <w:bottom w:val="single" w:color="auto" w:sz="4" w:space="0"/>
              <w:right w:val="single" w:color="auto" w:sz="4" w:space="0"/>
            </w:tcBorders>
            <w:shd w:val="clear" w:color="000000" w:fill="FFFFFF"/>
            <w:noWrap w:val="0"/>
            <w:vAlign w:val="center"/>
          </w:tcPr>
          <w:p>
            <w:pPr>
              <w:widowControl/>
              <w:jc w:val="center"/>
              <w:rPr>
                <w:rFonts w:hint="eastAsia" w:hAnsi="宋体" w:eastAsia="宋体" w:cs="宋体"/>
                <w:color w:val="auto"/>
                <w:sz w:val="18"/>
                <w:szCs w:val="18"/>
                <w:lang w:eastAsia="zh-CN"/>
              </w:rPr>
            </w:pPr>
            <w:r>
              <w:rPr>
                <w:rFonts w:hint="eastAsia" w:hAnsi="宋体" w:cs="宋体"/>
                <w:color w:val="auto"/>
                <w:sz w:val="18"/>
                <w:szCs w:val="18"/>
              </w:rPr>
              <w:t>观感</w:t>
            </w:r>
          </w:p>
          <w:p>
            <w:pPr>
              <w:widowControl/>
              <w:jc w:val="center"/>
              <w:rPr>
                <w:rFonts w:hAnsi="宋体" w:cs="宋体"/>
                <w:color w:val="auto"/>
                <w:sz w:val="18"/>
                <w:szCs w:val="18"/>
              </w:rPr>
            </w:pPr>
            <w:r>
              <w:rPr>
                <w:rFonts w:hint="eastAsia" w:hAnsi="宋体" w:cs="宋体"/>
                <w:color w:val="auto"/>
                <w:sz w:val="18"/>
                <w:szCs w:val="18"/>
              </w:rPr>
              <w:t>质量</w:t>
            </w:r>
          </w:p>
        </w:tc>
        <w:tc>
          <w:tcPr>
            <w:tcW w:w="7716"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int="eastAsia" w:hAnsi="宋体" w:eastAsia="宋体" w:cs="宋体"/>
                <w:color w:val="auto"/>
                <w:sz w:val="18"/>
                <w:szCs w:val="18"/>
                <w:lang w:eastAsia="zh-CN"/>
              </w:rPr>
            </w:pPr>
            <w:r>
              <w:rPr>
                <w:rFonts w:hint="eastAsia" w:hAnsi="宋体" w:cs="宋体"/>
                <w:color w:val="auto"/>
                <w:sz w:val="18"/>
                <w:szCs w:val="18"/>
              </w:rPr>
              <w:t xml:space="preserve">吊顶出现开裂、破损等情况；                                              </w:t>
            </w:r>
          </w:p>
          <w:p>
            <w:pPr>
              <w:widowControl/>
              <w:rPr>
                <w:rFonts w:hint="eastAsia" w:hAnsi="宋体" w:eastAsia="宋体" w:cs="宋体"/>
                <w:color w:val="auto"/>
                <w:sz w:val="18"/>
                <w:szCs w:val="18"/>
                <w:lang w:eastAsia="zh-CN"/>
              </w:rPr>
            </w:pPr>
            <w:r>
              <w:rPr>
                <w:rFonts w:hint="eastAsia" w:hAnsi="宋体" w:cs="宋体"/>
                <w:color w:val="auto"/>
                <w:sz w:val="18"/>
                <w:szCs w:val="18"/>
              </w:rPr>
              <w:t xml:space="preserve">板材安装不垂直、不平整、位置不正确；  </w:t>
            </w:r>
          </w:p>
          <w:p>
            <w:pPr>
              <w:widowControl/>
              <w:rPr>
                <w:rFonts w:hint="eastAsia" w:hAnsi="宋体" w:eastAsia="宋体" w:cs="宋体"/>
                <w:color w:val="auto"/>
                <w:sz w:val="18"/>
                <w:szCs w:val="18"/>
                <w:lang w:eastAsia="zh-CN"/>
              </w:rPr>
            </w:pPr>
            <w:r>
              <w:rPr>
                <w:rFonts w:hint="eastAsia" w:hAnsi="宋体" w:cs="宋体"/>
                <w:color w:val="auto"/>
                <w:sz w:val="18"/>
                <w:szCs w:val="18"/>
              </w:rPr>
              <w:t xml:space="preserve">面板之间的缝隙不符合要求的；                                                     </w:t>
            </w:r>
          </w:p>
          <w:p>
            <w:pPr>
              <w:widowControl/>
              <w:rPr>
                <w:rFonts w:hint="eastAsia" w:hAnsi="宋体" w:eastAsia="宋体" w:cs="宋体"/>
                <w:color w:val="auto"/>
                <w:sz w:val="18"/>
                <w:szCs w:val="18"/>
                <w:lang w:eastAsia="zh-CN"/>
              </w:rPr>
            </w:pPr>
            <w:r>
              <w:rPr>
                <w:rFonts w:hint="eastAsia" w:hAnsi="宋体" w:cs="宋体"/>
                <w:color w:val="auto"/>
                <w:sz w:val="18"/>
                <w:szCs w:val="18"/>
              </w:rPr>
              <w:t xml:space="preserve">隔墙安装完成后还晃动的；                                                                </w:t>
            </w:r>
          </w:p>
          <w:p>
            <w:pPr>
              <w:widowControl/>
              <w:rPr>
                <w:rFonts w:hint="eastAsia" w:hAnsi="宋体" w:eastAsia="宋体" w:cs="宋体"/>
                <w:color w:val="auto"/>
                <w:sz w:val="18"/>
                <w:szCs w:val="18"/>
                <w:lang w:eastAsia="zh-CN"/>
              </w:rPr>
            </w:pPr>
            <w:r>
              <w:rPr>
                <w:rFonts w:hint="eastAsia" w:hAnsi="宋体" w:cs="宋体"/>
                <w:color w:val="auto"/>
                <w:sz w:val="18"/>
                <w:szCs w:val="18"/>
              </w:rPr>
              <w:t xml:space="preserve">阴阳角不顺直、天花不平；       </w:t>
            </w:r>
          </w:p>
          <w:p>
            <w:pPr>
              <w:widowControl/>
              <w:rPr>
                <w:rFonts w:hAnsi="宋体" w:cs="宋体"/>
                <w:color w:val="auto"/>
                <w:sz w:val="18"/>
                <w:szCs w:val="18"/>
              </w:rPr>
            </w:pPr>
            <w:r>
              <w:rPr>
                <w:rFonts w:hint="eastAsia" w:hAnsi="宋体" w:cs="宋体"/>
                <w:color w:val="auto"/>
                <w:sz w:val="18"/>
                <w:szCs w:val="18"/>
              </w:rPr>
              <w:t xml:space="preserve">所有开孔周边未按要求收口。                        </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500</w:t>
            </w:r>
          </w:p>
        </w:tc>
      </w:tr>
      <w:tr>
        <w:tblPrEx>
          <w:tblCellMar>
            <w:top w:w="0" w:type="dxa"/>
            <w:left w:w="108" w:type="dxa"/>
            <w:bottom w:w="0" w:type="dxa"/>
            <w:right w:w="108" w:type="dxa"/>
          </w:tblCellMar>
        </w:tblPrEx>
        <w:trPr>
          <w:trHeight w:val="326" w:hRule="atLeast"/>
        </w:trPr>
        <w:tc>
          <w:tcPr>
            <w:tcW w:w="833" w:type="dxa"/>
            <w:vMerge w:val="restar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五、内墙、天花工程</w:t>
            </w:r>
          </w:p>
        </w:tc>
        <w:tc>
          <w:tcPr>
            <w:tcW w:w="615" w:type="dxa"/>
            <w:vMerge w:val="restart"/>
            <w:tcBorders>
              <w:top w:val="nil"/>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hAnsi="宋体" w:eastAsia="宋体" w:cs="宋体"/>
                <w:color w:val="auto"/>
                <w:sz w:val="18"/>
                <w:szCs w:val="18"/>
                <w:lang w:eastAsia="zh-CN"/>
              </w:rPr>
            </w:pPr>
            <w:r>
              <w:rPr>
                <w:rFonts w:hint="eastAsia" w:hAnsi="宋体" w:cs="宋体"/>
                <w:color w:val="auto"/>
                <w:sz w:val="18"/>
                <w:szCs w:val="18"/>
              </w:rPr>
              <w:t>主控</w:t>
            </w:r>
          </w:p>
          <w:p>
            <w:pPr>
              <w:widowControl/>
              <w:jc w:val="center"/>
              <w:rPr>
                <w:rFonts w:hAnsi="宋体" w:cs="宋体"/>
                <w:color w:val="auto"/>
                <w:sz w:val="18"/>
                <w:szCs w:val="18"/>
              </w:rPr>
            </w:pPr>
            <w:r>
              <w:rPr>
                <w:rFonts w:hint="eastAsia" w:hAnsi="宋体" w:cs="宋体"/>
                <w:color w:val="auto"/>
                <w:sz w:val="18"/>
                <w:szCs w:val="18"/>
              </w:rPr>
              <w:t>项目</w:t>
            </w:r>
          </w:p>
        </w:tc>
        <w:tc>
          <w:tcPr>
            <w:tcW w:w="7716" w:type="dxa"/>
            <w:vMerge w:val="restar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rPr>
                <w:rFonts w:hint="eastAsia" w:hAnsi="宋体" w:eastAsia="宋体" w:cs="宋体"/>
                <w:color w:val="auto"/>
                <w:sz w:val="18"/>
                <w:szCs w:val="18"/>
                <w:lang w:eastAsia="zh-CN"/>
              </w:rPr>
            </w:pPr>
            <w:r>
              <w:rPr>
                <w:rFonts w:hint="eastAsia" w:hAnsi="宋体" w:cs="宋体"/>
                <w:color w:val="auto"/>
                <w:sz w:val="18"/>
                <w:szCs w:val="18"/>
              </w:rPr>
              <w:t>内墙涂料、腻子、墙纸、墙布、墙纸胶未使用指定品牌或规格；</w:t>
            </w:r>
          </w:p>
          <w:p>
            <w:pPr>
              <w:widowControl/>
              <w:rPr>
                <w:rFonts w:hint="eastAsia" w:hAnsi="宋体" w:eastAsia="宋体" w:cs="宋体"/>
                <w:color w:val="auto"/>
                <w:sz w:val="18"/>
                <w:szCs w:val="18"/>
                <w:lang w:eastAsia="zh-CN"/>
              </w:rPr>
            </w:pPr>
            <w:r>
              <w:rPr>
                <w:rFonts w:hint="eastAsia" w:hAnsi="宋体" w:cs="宋体"/>
                <w:color w:val="auto"/>
                <w:sz w:val="18"/>
                <w:szCs w:val="18"/>
              </w:rPr>
              <w:t>内墙涂料、腻子施工后存在通长裂缝。</w:t>
            </w:r>
          </w:p>
          <w:p>
            <w:pPr>
              <w:widowControl/>
              <w:rPr>
                <w:rFonts w:hAnsi="宋体" w:cs="宋体"/>
                <w:color w:val="auto"/>
                <w:sz w:val="18"/>
                <w:szCs w:val="18"/>
              </w:rPr>
            </w:pPr>
            <w:r>
              <w:rPr>
                <w:rFonts w:hint="eastAsia" w:hAnsi="宋体" w:cs="宋体"/>
                <w:color w:val="auto"/>
                <w:sz w:val="18"/>
                <w:szCs w:val="18"/>
              </w:rPr>
              <w:t>内墙未做封闭底漆。</w:t>
            </w:r>
          </w:p>
        </w:tc>
        <w:tc>
          <w:tcPr>
            <w:tcW w:w="705" w:type="dxa"/>
            <w:vMerge w:val="restart"/>
            <w:tcBorders>
              <w:top w:val="nil"/>
              <w:left w:val="single" w:color="auto" w:sz="4" w:space="0"/>
              <w:bottom w:val="single" w:color="000000"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1000</w:t>
            </w:r>
          </w:p>
        </w:tc>
      </w:tr>
      <w:tr>
        <w:tblPrEx>
          <w:tblCellMar>
            <w:top w:w="0" w:type="dxa"/>
            <w:left w:w="108" w:type="dxa"/>
            <w:bottom w:w="0" w:type="dxa"/>
            <w:right w:w="108" w:type="dxa"/>
          </w:tblCellMar>
        </w:tblPrEx>
        <w:trPr>
          <w:trHeight w:val="660" w:hRule="atLeast"/>
        </w:trPr>
        <w:tc>
          <w:tcPr>
            <w:tcW w:w="83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rPr>
                <w:rFonts w:hAnsi="宋体" w:cs="宋体"/>
                <w:color w:val="auto"/>
                <w:sz w:val="18"/>
                <w:szCs w:val="18"/>
              </w:rPr>
            </w:pPr>
          </w:p>
        </w:tc>
        <w:tc>
          <w:tcPr>
            <w:tcW w:w="615" w:type="dxa"/>
            <w:vMerge w:val="continue"/>
            <w:tcBorders>
              <w:top w:val="nil"/>
              <w:left w:val="single" w:color="auto" w:sz="4" w:space="0"/>
              <w:bottom w:val="single" w:color="auto" w:sz="4" w:space="0"/>
              <w:right w:val="single" w:color="auto" w:sz="4" w:space="0"/>
            </w:tcBorders>
            <w:noWrap w:val="0"/>
            <w:vAlign w:val="center"/>
          </w:tcPr>
          <w:p>
            <w:pPr>
              <w:widowControl/>
              <w:rPr>
                <w:rFonts w:hAnsi="宋体" w:cs="宋体"/>
                <w:color w:val="auto"/>
                <w:sz w:val="18"/>
                <w:szCs w:val="18"/>
              </w:rPr>
            </w:pPr>
          </w:p>
        </w:tc>
        <w:tc>
          <w:tcPr>
            <w:tcW w:w="771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rPr>
                <w:rFonts w:hAnsi="宋体" w:cs="宋体"/>
                <w:color w:val="auto"/>
                <w:sz w:val="18"/>
                <w:szCs w:val="18"/>
              </w:rPr>
            </w:pPr>
          </w:p>
        </w:tc>
        <w:tc>
          <w:tcPr>
            <w:tcW w:w="705" w:type="dxa"/>
            <w:vMerge w:val="continue"/>
            <w:tcBorders>
              <w:top w:val="nil"/>
              <w:left w:val="single" w:color="auto" w:sz="4" w:space="0"/>
              <w:bottom w:val="single" w:color="000000" w:sz="4" w:space="0"/>
              <w:right w:val="single" w:color="auto" w:sz="4" w:space="0"/>
            </w:tcBorders>
            <w:noWrap w:val="0"/>
            <w:vAlign w:val="center"/>
          </w:tcPr>
          <w:p>
            <w:pPr>
              <w:widowControl/>
              <w:rPr>
                <w:rFonts w:hAnsi="宋体" w:cs="宋体"/>
                <w:color w:val="auto"/>
                <w:sz w:val="18"/>
                <w:szCs w:val="18"/>
              </w:rPr>
            </w:pPr>
          </w:p>
        </w:tc>
      </w:tr>
      <w:tr>
        <w:tblPrEx>
          <w:tblCellMar>
            <w:top w:w="0" w:type="dxa"/>
            <w:left w:w="108" w:type="dxa"/>
            <w:bottom w:w="0" w:type="dxa"/>
            <w:right w:w="108" w:type="dxa"/>
          </w:tblCellMar>
        </w:tblPrEx>
        <w:trPr>
          <w:trHeight w:val="1842" w:hRule="atLeast"/>
        </w:trPr>
        <w:tc>
          <w:tcPr>
            <w:tcW w:w="833"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rPr>
                <w:rFonts w:hAnsi="宋体" w:cs="宋体"/>
                <w:color w:val="auto"/>
                <w:sz w:val="18"/>
                <w:szCs w:val="18"/>
              </w:rPr>
            </w:pPr>
          </w:p>
        </w:tc>
        <w:tc>
          <w:tcPr>
            <w:tcW w:w="615"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抹灰</w:t>
            </w:r>
          </w:p>
        </w:tc>
        <w:tc>
          <w:tcPr>
            <w:tcW w:w="7716"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int="eastAsia" w:hAnsi="宋体" w:eastAsia="宋体" w:cs="宋体"/>
                <w:color w:val="auto"/>
                <w:sz w:val="18"/>
                <w:szCs w:val="18"/>
                <w:lang w:eastAsia="zh-CN"/>
              </w:rPr>
            </w:pPr>
            <w:r>
              <w:rPr>
                <w:rFonts w:hint="eastAsia" w:hAnsi="宋体" w:cs="宋体"/>
                <w:color w:val="auto"/>
                <w:sz w:val="18"/>
                <w:szCs w:val="18"/>
              </w:rPr>
              <w:t xml:space="preserve">天花不平未按要求处理；                       </w:t>
            </w:r>
          </w:p>
          <w:p>
            <w:pPr>
              <w:widowControl/>
              <w:rPr>
                <w:rFonts w:hint="eastAsia" w:hAnsi="宋体" w:eastAsia="宋体" w:cs="宋体"/>
                <w:color w:val="auto"/>
                <w:sz w:val="18"/>
                <w:szCs w:val="18"/>
                <w:lang w:eastAsia="zh-CN"/>
              </w:rPr>
            </w:pPr>
            <w:r>
              <w:rPr>
                <w:rFonts w:hint="eastAsia" w:hAnsi="宋体" w:cs="宋体"/>
                <w:color w:val="auto"/>
                <w:sz w:val="18"/>
                <w:szCs w:val="18"/>
              </w:rPr>
              <w:t xml:space="preserve">天花抹灰（腻子）不平，阴阳角不顺直；                             </w:t>
            </w:r>
          </w:p>
          <w:p>
            <w:pPr>
              <w:widowControl/>
              <w:rPr>
                <w:rFonts w:hint="eastAsia" w:hAnsi="宋体" w:eastAsia="宋体" w:cs="宋体"/>
                <w:color w:val="auto"/>
                <w:sz w:val="18"/>
                <w:szCs w:val="18"/>
                <w:lang w:eastAsia="zh-CN"/>
              </w:rPr>
            </w:pPr>
            <w:r>
              <w:rPr>
                <w:rFonts w:hint="eastAsia" w:hAnsi="宋体" w:cs="宋体"/>
                <w:color w:val="auto"/>
                <w:sz w:val="18"/>
                <w:szCs w:val="18"/>
              </w:rPr>
              <w:t xml:space="preserve">抹灰前未进行基底处理；                                                </w:t>
            </w:r>
          </w:p>
          <w:p>
            <w:pPr>
              <w:widowControl/>
              <w:rPr>
                <w:rFonts w:hint="eastAsia" w:hAnsi="宋体" w:eastAsia="宋体" w:cs="宋体"/>
                <w:color w:val="auto"/>
                <w:sz w:val="18"/>
                <w:szCs w:val="18"/>
                <w:lang w:eastAsia="zh-CN"/>
              </w:rPr>
            </w:pPr>
            <w:r>
              <w:rPr>
                <w:rFonts w:hint="eastAsia" w:hAnsi="宋体" w:cs="宋体"/>
                <w:color w:val="auto"/>
                <w:sz w:val="18"/>
                <w:szCs w:val="18"/>
              </w:rPr>
              <w:t>墙面抹灰明显不平整，色泽不一致、表面粗糙；</w:t>
            </w:r>
          </w:p>
          <w:p>
            <w:pPr>
              <w:widowControl/>
              <w:rPr>
                <w:rFonts w:hint="eastAsia" w:hAnsi="宋体" w:eastAsia="宋体" w:cs="宋体"/>
                <w:color w:val="auto"/>
                <w:sz w:val="18"/>
                <w:szCs w:val="18"/>
                <w:lang w:eastAsia="zh-CN"/>
              </w:rPr>
            </w:pPr>
            <w:r>
              <w:rPr>
                <w:rFonts w:hint="eastAsia" w:hAnsi="宋体" w:cs="宋体"/>
                <w:color w:val="auto"/>
                <w:sz w:val="18"/>
                <w:szCs w:val="18"/>
              </w:rPr>
              <w:t xml:space="preserve">烟道止回阀开口位置不符合要求                                    </w:t>
            </w:r>
          </w:p>
          <w:p>
            <w:pPr>
              <w:widowControl/>
              <w:rPr>
                <w:rFonts w:hAnsi="宋体" w:cs="宋体"/>
                <w:color w:val="auto"/>
                <w:sz w:val="18"/>
                <w:szCs w:val="18"/>
              </w:rPr>
            </w:pPr>
            <w:r>
              <w:rPr>
                <w:rFonts w:hint="eastAsia" w:hAnsi="宋体" w:cs="宋体"/>
                <w:color w:val="auto"/>
                <w:sz w:val="18"/>
                <w:szCs w:val="18"/>
              </w:rPr>
              <w:t>门、窗四周大小头或不方正。</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500</w:t>
            </w:r>
          </w:p>
        </w:tc>
      </w:tr>
      <w:tr>
        <w:tblPrEx>
          <w:tblCellMar>
            <w:top w:w="0" w:type="dxa"/>
            <w:left w:w="108" w:type="dxa"/>
            <w:bottom w:w="0" w:type="dxa"/>
            <w:right w:w="108" w:type="dxa"/>
          </w:tblCellMar>
        </w:tblPrEx>
        <w:trPr>
          <w:trHeight w:val="2640" w:hRule="atLeast"/>
        </w:trPr>
        <w:tc>
          <w:tcPr>
            <w:tcW w:w="833"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rPr>
                <w:rFonts w:hAnsi="宋体" w:cs="宋体"/>
                <w:color w:val="auto"/>
                <w:sz w:val="18"/>
                <w:szCs w:val="18"/>
              </w:rPr>
            </w:pPr>
          </w:p>
        </w:tc>
        <w:tc>
          <w:tcPr>
            <w:tcW w:w="615"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涂料</w:t>
            </w:r>
          </w:p>
        </w:tc>
        <w:tc>
          <w:tcPr>
            <w:tcW w:w="7716"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int="eastAsia" w:hAnsi="宋体" w:eastAsia="宋体" w:cs="宋体"/>
                <w:color w:val="auto"/>
                <w:sz w:val="18"/>
                <w:szCs w:val="18"/>
                <w:lang w:eastAsia="zh-CN"/>
              </w:rPr>
            </w:pPr>
            <w:r>
              <w:rPr>
                <w:rFonts w:hint="eastAsia" w:hAnsi="宋体" w:cs="宋体"/>
                <w:color w:val="auto"/>
                <w:sz w:val="18"/>
                <w:szCs w:val="18"/>
              </w:rPr>
              <w:t xml:space="preserve">   </w:t>
            </w:r>
          </w:p>
          <w:p>
            <w:pPr>
              <w:widowControl/>
              <w:rPr>
                <w:rFonts w:hint="eastAsia" w:hAnsi="宋体" w:eastAsia="宋体" w:cs="宋体"/>
                <w:color w:val="auto"/>
                <w:sz w:val="18"/>
                <w:szCs w:val="18"/>
                <w:lang w:eastAsia="zh-CN"/>
              </w:rPr>
            </w:pPr>
            <w:r>
              <w:rPr>
                <w:rFonts w:hint="eastAsia" w:hAnsi="宋体" w:cs="宋体"/>
                <w:color w:val="auto"/>
                <w:sz w:val="18"/>
                <w:szCs w:val="18"/>
              </w:rPr>
              <w:t xml:space="preserve">涂料有返潮、发霉的； </w:t>
            </w:r>
          </w:p>
          <w:p>
            <w:pPr>
              <w:widowControl/>
              <w:rPr>
                <w:rFonts w:hint="eastAsia" w:hAnsi="宋体" w:eastAsia="宋体" w:cs="宋体"/>
                <w:color w:val="auto"/>
                <w:sz w:val="18"/>
                <w:szCs w:val="18"/>
                <w:lang w:eastAsia="zh-CN"/>
              </w:rPr>
            </w:pPr>
            <w:r>
              <w:rPr>
                <w:rFonts w:hint="eastAsia" w:hAnsi="宋体" w:cs="宋体"/>
                <w:color w:val="auto"/>
                <w:sz w:val="18"/>
                <w:szCs w:val="18"/>
              </w:rPr>
              <w:t>腻子配合比不符合要求造成腻子松散、脱落的；</w:t>
            </w:r>
          </w:p>
          <w:p>
            <w:pPr>
              <w:widowControl/>
              <w:rPr>
                <w:rFonts w:hint="eastAsia" w:hAnsi="宋体" w:eastAsia="宋体" w:cs="宋体"/>
                <w:color w:val="auto"/>
                <w:sz w:val="18"/>
                <w:szCs w:val="18"/>
                <w:lang w:eastAsia="zh-CN"/>
              </w:rPr>
            </w:pPr>
            <w:r>
              <w:rPr>
                <w:rFonts w:hint="eastAsia" w:hAnsi="宋体" w:cs="宋体"/>
                <w:color w:val="auto"/>
                <w:sz w:val="18"/>
                <w:szCs w:val="18"/>
              </w:rPr>
              <w:t>基底未处理、基层不干燥、基层在涂饰涂料前未涂刷抗碱封闭底漆；</w:t>
            </w:r>
          </w:p>
          <w:p>
            <w:pPr>
              <w:widowControl/>
              <w:rPr>
                <w:rFonts w:hint="eastAsia" w:hAnsi="宋体" w:eastAsia="宋体" w:cs="宋体"/>
                <w:color w:val="auto"/>
                <w:sz w:val="18"/>
                <w:szCs w:val="18"/>
                <w:lang w:eastAsia="zh-CN"/>
              </w:rPr>
            </w:pPr>
            <w:r>
              <w:rPr>
                <w:rFonts w:hint="eastAsia" w:hAnsi="宋体" w:cs="宋体"/>
                <w:color w:val="auto"/>
                <w:sz w:val="18"/>
                <w:szCs w:val="18"/>
              </w:rPr>
              <w:t>阴阳角不顺直、墙身不平的；</w:t>
            </w:r>
          </w:p>
          <w:p>
            <w:pPr>
              <w:widowControl/>
              <w:rPr>
                <w:rFonts w:hAnsi="宋体" w:cs="宋体"/>
                <w:color w:val="auto"/>
                <w:sz w:val="18"/>
                <w:szCs w:val="18"/>
              </w:rPr>
            </w:pPr>
            <w:r>
              <w:rPr>
                <w:rFonts w:hint="eastAsia" w:hAnsi="宋体" w:cs="宋体"/>
                <w:color w:val="auto"/>
                <w:sz w:val="18"/>
                <w:szCs w:val="18"/>
              </w:rPr>
              <w:t xml:space="preserve">石膏线安装不牢固、不顺直、无打磨、接口不顺畅、有裂缝、返锈、受潮、变色等；                                                                                                                                                                                                     涂料和腻子有开裂、透底、泛碱、返锈、咬色、流坠、疙瘩、砂眼、刷纹、脱落等。                                                                                                                                                               </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500</w:t>
            </w:r>
          </w:p>
        </w:tc>
      </w:tr>
      <w:tr>
        <w:tblPrEx>
          <w:tblCellMar>
            <w:top w:w="0" w:type="dxa"/>
            <w:left w:w="108" w:type="dxa"/>
            <w:bottom w:w="0" w:type="dxa"/>
            <w:right w:w="108" w:type="dxa"/>
          </w:tblCellMar>
        </w:tblPrEx>
        <w:trPr>
          <w:trHeight w:val="1815" w:hRule="atLeast"/>
        </w:trPr>
        <w:tc>
          <w:tcPr>
            <w:tcW w:w="833"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rPr>
                <w:rFonts w:hAnsi="宋体" w:cs="宋体"/>
                <w:color w:val="auto"/>
                <w:sz w:val="18"/>
                <w:szCs w:val="18"/>
              </w:rPr>
            </w:pPr>
          </w:p>
        </w:tc>
        <w:tc>
          <w:tcPr>
            <w:tcW w:w="615"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裱糊</w:t>
            </w:r>
          </w:p>
        </w:tc>
        <w:tc>
          <w:tcPr>
            <w:tcW w:w="7716"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int="eastAsia" w:hAnsi="宋体" w:eastAsia="宋体" w:cs="宋体"/>
                <w:color w:val="auto"/>
                <w:sz w:val="18"/>
                <w:szCs w:val="18"/>
                <w:lang w:eastAsia="zh-CN"/>
              </w:rPr>
            </w:pPr>
            <w:r>
              <w:rPr>
                <w:rFonts w:hint="eastAsia" w:hAnsi="宋体" w:cs="宋体"/>
                <w:color w:val="auto"/>
                <w:sz w:val="18"/>
                <w:szCs w:val="18"/>
              </w:rPr>
              <w:t xml:space="preserve">裱糊有返潮、发霉的；                                                                    </w:t>
            </w:r>
          </w:p>
          <w:p>
            <w:pPr>
              <w:widowControl/>
              <w:rPr>
                <w:rFonts w:hint="eastAsia" w:hAnsi="宋体" w:eastAsia="宋体" w:cs="宋体"/>
                <w:color w:val="auto"/>
                <w:sz w:val="18"/>
                <w:szCs w:val="18"/>
                <w:lang w:eastAsia="zh-CN"/>
              </w:rPr>
            </w:pPr>
            <w:r>
              <w:rPr>
                <w:rFonts w:hint="eastAsia" w:hAnsi="宋体" w:cs="宋体"/>
                <w:color w:val="auto"/>
                <w:sz w:val="18"/>
                <w:szCs w:val="18"/>
              </w:rPr>
              <w:t>墙面在刮腻子前未涂刷抗碱封闭底漆；</w:t>
            </w:r>
          </w:p>
          <w:p>
            <w:pPr>
              <w:widowControl/>
              <w:rPr>
                <w:rFonts w:hint="eastAsia" w:hAnsi="宋体" w:eastAsia="宋体" w:cs="宋体"/>
                <w:color w:val="auto"/>
                <w:sz w:val="18"/>
                <w:szCs w:val="18"/>
                <w:lang w:eastAsia="zh-CN"/>
              </w:rPr>
            </w:pPr>
            <w:r>
              <w:rPr>
                <w:rFonts w:hint="eastAsia" w:hAnsi="宋体" w:cs="宋体"/>
                <w:color w:val="auto"/>
                <w:sz w:val="18"/>
                <w:szCs w:val="18"/>
              </w:rPr>
              <w:t xml:space="preserve">基层处理不符合要求；                                                                                              </w:t>
            </w:r>
          </w:p>
          <w:p>
            <w:pPr>
              <w:widowControl/>
              <w:rPr>
                <w:rFonts w:hint="eastAsia" w:hAnsi="宋体" w:cs="宋体"/>
                <w:color w:val="auto"/>
                <w:sz w:val="18"/>
                <w:szCs w:val="18"/>
              </w:rPr>
            </w:pPr>
            <w:r>
              <w:rPr>
                <w:rFonts w:hint="eastAsia" w:hAnsi="宋体" w:cs="宋体"/>
                <w:color w:val="auto"/>
                <w:sz w:val="18"/>
                <w:szCs w:val="18"/>
              </w:rPr>
              <w:t>拼接不平直，拼接花纹图案不吻合，存在离缝、搭接；</w:t>
            </w:r>
          </w:p>
          <w:p>
            <w:pPr>
              <w:widowControl/>
              <w:rPr>
                <w:rFonts w:hint="eastAsia" w:hAnsi="宋体" w:cs="宋体"/>
                <w:color w:val="auto"/>
                <w:sz w:val="18"/>
                <w:szCs w:val="18"/>
              </w:rPr>
            </w:pPr>
            <w:r>
              <w:rPr>
                <w:rFonts w:hint="eastAsia" w:hAnsi="宋体" w:cs="宋体"/>
                <w:color w:val="auto"/>
                <w:sz w:val="18"/>
                <w:szCs w:val="18"/>
              </w:rPr>
              <w:t>粘贴不牢固，有漏贴、补贴、脱层、空鼓、翘边；</w:t>
            </w:r>
          </w:p>
          <w:p>
            <w:pPr>
              <w:widowControl/>
              <w:rPr>
                <w:rFonts w:hAnsi="宋体" w:cs="宋体"/>
                <w:color w:val="auto"/>
                <w:sz w:val="18"/>
                <w:szCs w:val="18"/>
              </w:rPr>
            </w:pPr>
            <w:r>
              <w:rPr>
                <w:rFonts w:hint="eastAsia" w:hAnsi="宋体" w:cs="宋体"/>
                <w:color w:val="auto"/>
                <w:sz w:val="18"/>
                <w:szCs w:val="18"/>
              </w:rPr>
              <w:t xml:space="preserve">其它墙面装饰工程未按要求施工。                      </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500</w:t>
            </w:r>
          </w:p>
        </w:tc>
      </w:tr>
      <w:tr>
        <w:tblPrEx>
          <w:tblCellMar>
            <w:top w:w="0" w:type="dxa"/>
            <w:left w:w="108" w:type="dxa"/>
            <w:bottom w:w="0" w:type="dxa"/>
            <w:right w:w="108" w:type="dxa"/>
          </w:tblCellMar>
        </w:tblPrEx>
        <w:trPr>
          <w:trHeight w:val="2160" w:hRule="atLeast"/>
        </w:trPr>
        <w:tc>
          <w:tcPr>
            <w:tcW w:w="833"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rPr>
                <w:rFonts w:hAnsi="宋体" w:cs="宋体"/>
                <w:color w:val="auto"/>
                <w:sz w:val="18"/>
                <w:szCs w:val="18"/>
              </w:rPr>
            </w:pPr>
          </w:p>
        </w:tc>
        <w:tc>
          <w:tcPr>
            <w:tcW w:w="615"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木装饰</w:t>
            </w:r>
          </w:p>
        </w:tc>
        <w:tc>
          <w:tcPr>
            <w:tcW w:w="7716"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int="eastAsia" w:hAnsi="宋体" w:eastAsia="宋体" w:cs="宋体"/>
                <w:color w:val="auto"/>
                <w:sz w:val="18"/>
                <w:szCs w:val="18"/>
                <w:lang w:eastAsia="zh-CN"/>
              </w:rPr>
            </w:pPr>
            <w:r>
              <w:rPr>
                <w:rFonts w:hint="eastAsia" w:hAnsi="宋体" w:cs="宋体"/>
                <w:color w:val="auto"/>
                <w:sz w:val="18"/>
                <w:szCs w:val="18"/>
              </w:rPr>
              <w:t xml:space="preserve">龙骨间距及固定方式不符合设计要求的；                                 </w:t>
            </w:r>
          </w:p>
          <w:p>
            <w:pPr>
              <w:widowControl/>
              <w:rPr>
                <w:rFonts w:hint="eastAsia" w:hAnsi="宋体" w:eastAsia="宋体" w:cs="宋体"/>
                <w:color w:val="auto"/>
                <w:sz w:val="18"/>
                <w:szCs w:val="18"/>
                <w:lang w:eastAsia="zh-CN"/>
              </w:rPr>
            </w:pPr>
            <w:r>
              <w:rPr>
                <w:rFonts w:hint="eastAsia" w:hAnsi="宋体" w:cs="宋体"/>
                <w:color w:val="auto"/>
                <w:sz w:val="18"/>
                <w:szCs w:val="18"/>
              </w:rPr>
              <w:t xml:space="preserve">材料未作防火防腐处理的； </w:t>
            </w:r>
          </w:p>
          <w:p>
            <w:pPr>
              <w:widowControl/>
              <w:rPr>
                <w:rFonts w:hint="eastAsia" w:hAnsi="宋体" w:cs="宋体"/>
                <w:color w:val="auto"/>
                <w:sz w:val="18"/>
                <w:szCs w:val="18"/>
              </w:rPr>
            </w:pPr>
            <w:r>
              <w:rPr>
                <w:rFonts w:hint="eastAsia" w:hAnsi="宋体" w:cs="宋体"/>
                <w:color w:val="auto"/>
                <w:sz w:val="18"/>
                <w:szCs w:val="18"/>
              </w:rPr>
              <w:t>饰面板不平整、有色差、裂痕、钉眼、翘曲、接缝不美观、木纹不对缝；</w:t>
            </w:r>
          </w:p>
          <w:p>
            <w:pPr>
              <w:widowControl/>
              <w:rPr>
                <w:rFonts w:hint="eastAsia" w:hAnsi="宋体" w:eastAsia="宋体" w:cs="宋体"/>
                <w:color w:val="auto"/>
                <w:sz w:val="18"/>
                <w:szCs w:val="18"/>
                <w:lang w:eastAsia="zh-CN"/>
              </w:rPr>
            </w:pPr>
            <w:r>
              <w:rPr>
                <w:rFonts w:hint="eastAsia" w:hAnsi="宋体" w:cs="宋体"/>
                <w:color w:val="auto"/>
                <w:sz w:val="18"/>
                <w:szCs w:val="18"/>
              </w:rPr>
              <w:t xml:space="preserve">阳角不顺直，边口压条不顺直、不平整，接缝不吻合，分缝不均匀，拼缝不整齐，开缝深浅不均匀；                                                        </w:t>
            </w:r>
          </w:p>
          <w:p>
            <w:pPr>
              <w:widowControl/>
              <w:rPr>
                <w:rFonts w:hint="eastAsia" w:hAnsi="宋体" w:eastAsia="宋体" w:cs="宋体"/>
                <w:color w:val="auto"/>
                <w:sz w:val="18"/>
                <w:szCs w:val="18"/>
                <w:lang w:eastAsia="zh-CN"/>
              </w:rPr>
            </w:pPr>
            <w:r>
              <w:rPr>
                <w:rFonts w:hint="eastAsia" w:hAnsi="宋体" w:cs="宋体"/>
                <w:color w:val="auto"/>
                <w:sz w:val="18"/>
                <w:szCs w:val="18"/>
              </w:rPr>
              <w:t xml:space="preserve">面板嵌缝不密实、不平直，嵌填材料色泽不一致；                </w:t>
            </w:r>
          </w:p>
          <w:p>
            <w:pPr>
              <w:widowControl/>
              <w:rPr>
                <w:rFonts w:hAnsi="宋体" w:cs="宋体"/>
                <w:color w:val="auto"/>
                <w:sz w:val="18"/>
                <w:szCs w:val="18"/>
              </w:rPr>
            </w:pPr>
            <w:r>
              <w:rPr>
                <w:rFonts w:hint="eastAsia" w:hAnsi="宋体" w:cs="宋体"/>
                <w:color w:val="auto"/>
                <w:sz w:val="18"/>
                <w:szCs w:val="18"/>
              </w:rPr>
              <w:t xml:space="preserve">木饰线有开裂。                                </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500</w:t>
            </w:r>
          </w:p>
        </w:tc>
      </w:tr>
      <w:tr>
        <w:tblPrEx>
          <w:tblCellMar>
            <w:top w:w="0" w:type="dxa"/>
            <w:left w:w="108" w:type="dxa"/>
            <w:bottom w:w="0" w:type="dxa"/>
            <w:right w:w="108" w:type="dxa"/>
          </w:tblCellMar>
        </w:tblPrEx>
        <w:trPr>
          <w:trHeight w:val="975" w:hRule="atLeast"/>
        </w:trPr>
        <w:tc>
          <w:tcPr>
            <w:tcW w:w="833" w:type="dxa"/>
            <w:vMerge w:val="restar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六、水、电安装工程</w:t>
            </w:r>
          </w:p>
        </w:tc>
        <w:tc>
          <w:tcPr>
            <w:tcW w:w="615" w:type="dxa"/>
            <w:tcBorders>
              <w:top w:val="nil"/>
              <w:left w:val="nil"/>
              <w:bottom w:val="single" w:color="auto" w:sz="4" w:space="0"/>
              <w:right w:val="single" w:color="auto" w:sz="4" w:space="0"/>
            </w:tcBorders>
            <w:shd w:val="clear" w:color="000000" w:fill="FFFFFF"/>
            <w:noWrap w:val="0"/>
            <w:vAlign w:val="center"/>
          </w:tcPr>
          <w:p>
            <w:pPr>
              <w:widowControl/>
              <w:jc w:val="center"/>
              <w:rPr>
                <w:rFonts w:hint="eastAsia" w:hAnsi="宋体" w:eastAsia="宋体" w:cs="宋体"/>
                <w:color w:val="auto"/>
                <w:sz w:val="18"/>
                <w:szCs w:val="18"/>
                <w:lang w:eastAsia="zh-CN"/>
              </w:rPr>
            </w:pPr>
            <w:r>
              <w:rPr>
                <w:rFonts w:hint="eastAsia" w:hAnsi="宋体" w:cs="宋体"/>
                <w:color w:val="auto"/>
                <w:sz w:val="18"/>
                <w:szCs w:val="18"/>
              </w:rPr>
              <w:t>主控</w:t>
            </w:r>
          </w:p>
          <w:p>
            <w:pPr>
              <w:widowControl/>
              <w:jc w:val="center"/>
              <w:rPr>
                <w:rFonts w:hAnsi="宋体" w:cs="宋体"/>
                <w:color w:val="auto"/>
                <w:sz w:val="18"/>
                <w:szCs w:val="18"/>
              </w:rPr>
            </w:pPr>
            <w:r>
              <w:rPr>
                <w:rFonts w:hint="eastAsia" w:hAnsi="宋体" w:cs="宋体"/>
                <w:color w:val="auto"/>
                <w:sz w:val="18"/>
                <w:szCs w:val="18"/>
              </w:rPr>
              <w:t>项目</w:t>
            </w:r>
          </w:p>
        </w:tc>
        <w:tc>
          <w:tcPr>
            <w:tcW w:w="7716"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int="eastAsia" w:hAnsi="宋体" w:eastAsia="宋体" w:cs="宋体"/>
                <w:color w:val="auto"/>
                <w:sz w:val="18"/>
                <w:szCs w:val="18"/>
                <w:lang w:eastAsia="zh-CN"/>
              </w:rPr>
            </w:pPr>
            <w:r>
              <w:rPr>
                <w:rFonts w:hint="eastAsia" w:hAnsi="宋体" w:cs="宋体"/>
                <w:color w:val="auto"/>
                <w:sz w:val="18"/>
                <w:szCs w:val="18"/>
              </w:rPr>
              <w:t>品牌、材质、规格不符合设计或合同要求；</w:t>
            </w:r>
          </w:p>
          <w:p>
            <w:pPr>
              <w:widowControl/>
              <w:rPr>
                <w:rFonts w:hint="eastAsia" w:hAnsi="宋体" w:eastAsia="宋体" w:cs="宋体"/>
                <w:color w:val="auto"/>
                <w:sz w:val="18"/>
                <w:szCs w:val="18"/>
                <w:lang w:eastAsia="zh-CN"/>
              </w:rPr>
            </w:pPr>
            <w:r>
              <w:rPr>
                <w:rFonts w:hint="eastAsia" w:hAnsi="宋体" w:cs="宋体"/>
                <w:color w:val="auto"/>
                <w:sz w:val="18"/>
                <w:szCs w:val="18"/>
              </w:rPr>
              <w:t>钻孔野蛮施工造成破坏；</w:t>
            </w:r>
          </w:p>
          <w:p>
            <w:pPr>
              <w:widowControl/>
              <w:rPr>
                <w:rFonts w:hAnsi="宋体" w:cs="宋体"/>
                <w:color w:val="auto"/>
                <w:sz w:val="18"/>
                <w:szCs w:val="18"/>
              </w:rPr>
            </w:pPr>
            <w:r>
              <w:rPr>
                <w:rFonts w:hint="eastAsia" w:hAnsi="宋体" w:cs="宋体"/>
                <w:color w:val="auto"/>
                <w:sz w:val="18"/>
                <w:szCs w:val="18"/>
              </w:rPr>
              <w:t>未按要求施工（如使用冲击钻）造成瓷片空鼓或破损。</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1000</w:t>
            </w:r>
          </w:p>
        </w:tc>
      </w:tr>
      <w:tr>
        <w:tblPrEx>
          <w:tblCellMar>
            <w:top w:w="0" w:type="dxa"/>
            <w:left w:w="108" w:type="dxa"/>
            <w:bottom w:w="0" w:type="dxa"/>
            <w:right w:w="108" w:type="dxa"/>
          </w:tblCellMar>
        </w:tblPrEx>
        <w:trPr>
          <w:trHeight w:val="3300" w:hRule="atLeast"/>
        </w:trPr>
        <w:tc>
          <w:tcPr>
            <w:tcW w:w="833"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rPr>
                <w:rFonts w:hAnsi="宋体" w:cs="宋体"/>
                <w:color w:val="auto"/>
                <w:sz w:val="18"/>
                <w:szCs w:val="18"/>
              </w:rPr>
            </w:pPr>
          </w:p>
        </w:tc>
        <w:tc>
          <w:tcPr>
            <w:tcW w:w="615"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水</w:t>
            </w:r>
          </w:p>
        </w:tc>
        <w:tc>
          <w:tcPr>
            <w:tcW w:w="7716"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int="eastAsia" w:hAnsi="宋体" w:eastAsia="宋体" w:cs="宋体"/>
                <w:color w:val="auto"/>
                <w:sz w:val="18"/>
                <w:szCs w:val="18"/>
                <w:lang w:eastAsia="zh-CN"/>
              </w:rPr>
            </w:pPr>
            <w:r>
              <w:rPr>
                <w:rFonts w:hint="eastAsia" w:hAnsi="宋体" w:cs="宋体"/>
                <w:color w:val="auto"/>
                <w:sz w:val="18"/>
                <w:szCs w:val="18"/>
              </w:rPr>
              <w:t xml:space="preserve">洗手盆未按要求设置存水弯；                                                    </w:t>
            </w:r>
          </w:p>
          <w:p>
            <w:pPr>
              <w:widowControl/>
              <w:rPr>
                <w:rFonts w:hint="eastAsia" w:hAnsi="宋体" w:eastAsia="宋体" w:cs="宋体"/>
                <w:color w:val="auto"/>
                <w:sz w:val="18"/>
                <w:szCs w:val="18"/>
                <w:lang w:eastAsia="zh-CN"/>
              </w:rPr>
            </w:pPr>
            <w:r>
              <w:rPr>
                <w:rFonts w:hint="eastAsia" w:hAnsi="宋体" w:cs="宋体"/>
                <w:color w:val="auto"/>
                <w:sz w:val="18"/>
                <w:szCs w:val="18"/>
              </w:rPr>
              <w:t xml:space="preserve">地漏安装不按图施工、收口差、有锈渍、堵塞；                                            </w:t>
            </w:r>
          </w:p>
          <w:p>
            <w:pPr>
              <w:widowControl/>
              <w:rPr>
                <w:rFonts w:hint="eastAsia" w:hAnsi="宋体" w:eastAsia="宋体" w:cs="宋体"/>
                <w:color w:val="auto"/>
                <w:sz w:val="18"/>
                <w:szCs w:val="18"/>
                <w:lang w:eastAsia="zh-CN"/>
              </w:rPr>
            </w:pPr>
            <w:r>
              <w:rPr>
                <w:rFonts w:hint="eastAsia" w:hAnsi="宋体" w:cs="宋体"/>
                <w:color w:val="auto"/>
                <w:sz w:val="18"/>
                <w:szCs w:val="18"/>
              </w:rPr>
              <w:t xml:space="preserve">花洒、龙头出水不正常、有滴漏现象；                                  </w:t>
            </w:r>
          </w:p>
          <w:p>
            <w:pPr>
              <w:widowControl/>
              <w:rPr>
                <w:rFonts w:hint="eastAsia" w:hAnsi="宋体" w:eastAsia="宋体" w:cs="宋体"/>
                <w:color w:val="auto"/>
                <w:sz w:val="18"/>
                <w:szCs w:val="18"/>
                <w:lang w:eastAsia="zh-CN"/>
              </w:rPr>
            </w:pPr>
            <w:r>
              <w:rPr>
                <w:rFonts w:hint="eastAsia" w:hAnsi="宋体" w:cs="宋体"/>
                <w:color w:val="auto"/>
                <w:sz w:val="18"/>
                <w:szCs w:val="18"/>
              </w:rPr>
              <w:t xml:space="preserve">座厕安装位置不符合设计要求；洁具及地漏排水不顺畅；                                                                         </w:t>
            </w:r>
          </w:p>
          <w:p>
            <w:pPr>
              <w:widowControl/>
              <w:rPr>
                <w:rFonts w:hint="eastAsia" w:hAnsi="宋体" w:eastAsia="宋体" w:cs="宋体"/>
                <w:color w:val="auto"/>
                <w:sz w:val="18"/>
                <w:szCs w:val="18"/>
                <w:lang w:eastAsia="zh-CN"/>
              </w:rPr>
            </w:pPr>
            <w:r>
              <w:rPr>
                <w:rFonts w:hint="eastAsia" w:hAnsi="宋体" w:cs="宋体"/>
                <w:color w:val="auto"/>
                <w:sz w:val="18"/>
                <w:szCs w:val="18"/>
              </w:rPr>
              <w:t xml:space="preserve">出屋面排气管的安装高度不符合要求；                     </w:t>
            </w:r>
          </w:p>
          <w:p>
            <w:pPr>
              <w:widowControl/>
              <w:rPr>
                <w:rFonts w:hint="eastAsia" w:hAnsi="宋体" w:cs="宋体"/>
                <w:color w:val="auto"/>
                <w:sz w:val="18"/>
                <w:szCs w:val="18"/>
                <w:lang w:eastAsia="zh-CN"/>
              </w:rPr>
            </w:pPr>
            <w:r>
              <w:rPr>
                <w:rFonts w:hint="eastAsia" w:hAnsi="宋体" w:cs="宋体"/>
                <w:color w:val="auto"/>
                <w:sz w:val="18"/>
                <w:szCs w:val="18"/>
              </w:rPr>
              <w:t>厨房排水管安装过高（要求贴结构楼板安装）</w:t>
            </w:r>
            <w:r>
              <w:rPr>
                <w:rFonts w:hint="eastAsia" w:hAnsi="宋体" w:cs="宋体"/>
                <w:color w:val="auto"/>
                <w:sz w:val="18"/>
                <w:szCs w:val="18"/>
                <w:lang w:eastAsia="zh-CN"/>
              </w:rPr>
              <w:t>；</w:t>
            </w:r>
          </w:p>
          <w:p>
            <w:pPr>
              <w:widowControl/>
              <w:rPr>
                <w:rFonts w:hint="eastAsia" w:hAnsi="宋体" w:cs="宋体"/>
                <w:color w:val="auto"/>
                <w:sz w:val="18"/>
                <w:szCs w:val="18"/>
              </w:rPr>
            </w:pPr>
            <w:r>
              <w:rPr>
                <w:rFonts w:hint="eastAsia" w:hAnsi="宋体" w:cs="宋体"/>
                <w:color w:val="auto"/>
                <w:sz w:val="18"/>
                <w:szCs w:val="18"/>
              </w:rPr>
              <w:t>水管、龙头、法兰安装不牢固、位置不正确，有污渍、渗漏；</w:t>
            </w:r>
          </w:p>
          <w:p>
            <w:pPr>
              <w:widowControl/>
              <w:rPr>
                <w:rFonts w:hint="eastAsia" w:hAnsi="宋体" w:eastAsia="宋体" w:cs="宋体"/>
                <w:color w:val="auto"/>
                <w:sz w:val="18"/>
                <w:szCs w:val="18"/>
                <w:lang w:eastAsia="zh-CN"/>
              </w:rPr>
            </w:pPr>
            <w:r>
              <w:rPr>
                <w:rFonts w:hint="eastAsia" w:hAnsi="宋体" w:cs="宋体"/>
                <w:color w:val="auto"/>
                <w:sz w:val="18"/>
                <w:szCs w:val="18"/>
              </w:rPr>
              <w:t xml:space="preserve">洗手盆，座厕釉面不光滑平整，有明显的波曲现象；              </w:t>
            </w:r>
          </w:p>
          <w:p>
            <w:pPr>
              <w:widowControl/>
              <w:rPr>
                <w:rFonts w:hint="eastAsia" w:hAnsi="宋体" w:eastAsia="宋体" w:cs="宋体"/>
                <w:color w:val="auto"/>
                <w:sz w:val="18"/>
                <w:szCs w:val="18"/>
                <w:lang w:eastAsia="zh-CN"/>
              </w:rPr>
            </w:pPr>
            <w:r>
              <w:rPr>
                <w:rFonts w:hint="eastAsia" w:hAnsi="宋体" w:cs="宋体"/>
                <w:color w:val="auto"/>
                <w:sz w:val="18"/>
                <w:szCs w:val="18"/>
              </w:rPr>
              <w:t xml:space="preserve">各部件表面有毛刺、粘污、划痕、色泽不均匀或周边打胶不顺直、有脱落现象；                                      </w:t>
            </w:r>
          </w:p>
          <w:p>
            <w:pPr>
              <w:widowControl/>
              <w:rPr>
                <w:rFonts w:hAnsi="宋体" w:cs="宋体"/>
                <w:color w:val="auto"/>
                <w:sz w:val="18"/>
                <w:szCs w:val="18"/>
              </w:rPr>
            </w:pPr>
            <w:r>
              <w:rPr>
                <w:rFonts w:hint="eastAsia" w:hAnsi="宋体" w:cs="宋体"/>
                <w:color w:val="auto"/>
                <w:sz w:val="18"/>
                <w:szCs w:val="18"/>
              </w:rPr>
              <w:t xml:space="preserve">暖通工程未按要求施工。                                                      </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500</w:t>
            </w:r>
          </w:p>
        </w:tc>
      </w:tr>
      <w:tr>
        <w:tblPrEx>
          <w:tblCellMar>
            <w:top w:w="0" w:type="dxa"/>
            <w:left w:w="108" w:type="dxa"/>
            <w:bottom w:w="0" w:type="dxa"/>
            <w:right w:w="108" w:type="dxa"/>
          </w:tblCellMar>
        </w:tblPrEx>
        <w:trPr>
          <w:trHeight w:val="2400" w:hRule="atLeast"/>
        </w:trPr>
        <w:tc>
          <w:tcPr>
            <w:tcW w:w="833"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rPr>
                <w:rFonts w:hAnsi="宋体" w:cs="宋体"/>
                <w:color w:val="auto"/>
                <w:sz w:val="18"/>
                <w:szCs w:val="18"/>
              </w:rPr>
            </w:pPr>
          </w:p>
        </w:tc>
        <w:tc>
          <w:tcPr>
            <w:tcW w:w="615"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电</w:t>
            </w:r>
          </w:p>
        </w:tc>
        <w:tc>
          <w:tcPr>
            <w:tcW w:w="7716"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int="eastAsia" w:hAnsi="宋体" w:eastAsia="宋体" w:cs="宋体"/>
                <w:color w:val="auto"/>
                <w:sz w:val="18"/>
                <w:szCs w:val="18"/>
                <w:lang w:eastAsia="zh-CN"/>
              </w:rPr>
            </w:pPr>
            <w:r>
              <w:rPr>
                <w:rFonts w:hint="eastAsia" w:hAnsi="宋体" w:cs="宋体"/>
                <w:color w:val="auto"/>
                <w:sz w:val="18"/>
                <w:szCs w:val="18"/>
              </w:rPr>
              <w:t xml:space="preserve">吊顶内线路无穿管的；                                                        </w:t>
            </w:r>
          </w:p>
          <w:p>
            <w:pPr>
              <w:widowControl/>
              <w:rPr>
                <w:rFonts w:hint="eastAsia" w:hAnsi="宋体" w:eastAsia="宋体" w:cs="宋体"/>
                <w:color w:val="auto"/>
                <w:sz w:val="18"/>
                <w:szCs w:val="18"/>
                <w:lang w:eastAsia="zh-CN"/>
              </w:rPr>
            </w:pPr>
            <w:r>
              <w:rPr>
                <w:rFonts w:hint="eastAsia" w:hAnsi="宋体" w:cs="宋体"/>
                <w:color w:val="auto"/>
                <w:sz w:val="18"/>
                <w:szCs w:val="18"/>
              </w:rPr>
              <w:t xml:space="preserve">穿线不分色，中间有接头；   </w:t>
            </w:r>
          </w:p>
          <w:p>
            <w:pPr>
              <w:widowControl/>
              <w:rPr>
                <w:rFonts w:hint="eastAsia" w:hAnsi="宋体" w:eastAsia="宋体" w:cs="宋体"/>
                <w:color w:val="auto"/>
                <w:sz w:val="18"/>
                <w:szCs w:val="18"/>
                <w:lang w:eastAsia="zh-CN"/>
              </w:rPr>
            </w:pPr>
            <w:r>
              <w:rPr>
                <w:rFonts w:hint="eastAsia" w:hAnsi="宋体" w:cs="宋体"/>
                <w:color w:val="auto"/>
                <w:sz w:val="18"/>
                <w:szCs w:val="18"/>
              </w:rPr>
              <w:t xml:space="preserve">配电箱、开关、线盒、插座面板、门铃、灯具安装位置不正确、不牢固、不平整；  </w:t>
            </w:r>
          </w:p>
          <w:p>
            <w:pPr>
              <w:widowControl/>
              <w:rPr>
                <w:rFonts w:hint="eastAsia" w:hAnsi="宋体" w:eastAsia="宋体" w:cs="宋体"/>
                <w:color w:val="auto"/>
                <w:sz w:val="18"/>
                <w:szCs w:val="18"/>
                <w:lang w:eastAsia="zh-CN"/>
              </w:rPr>
            </w:pPr>
            <w:r>
              <w:rPr>
                <w:rFonts w:hint="eastAsia" w:hAnsi="宋体" w:cs="宋体"/>
                <w:color w:val="auto"/>
                <w:sz w:val="18"/>
                <w:szCs w:val="18"/>
              </w:rPr>
              <w:t xml:space="preserve">未按要求设置防水插座或开关；                                                              </w:t>
            </w:r>
          </w:p>
          <w:p>
            <w:pPr>
              <w:widowControl/>
              <w:rPr>
                <w:rFonts w:hint="eastAsia" w:hAnsi="宋体" w:eastAsia="宋体" w:cs="宋体"/>
                <w:color w:val="auto"/>
                <w:sz w:val="18"/>
                <w:szCs w:val="18"/>
                <w:lang w:eastAsia="zh-CN"/>
              </w:rPr>
            </w:pPr>
            <w:r>
              <w:rPr>
                <w:rFonts w:hint="eastAsia" w:hAnsi="宋体" w:cs="宋体"/>
                <w:color w:val="auto"/>
                <w:sz w:val="18"/>
                <w:szCs w:val="18"/>
              </w:rPr>
              <w:t xml:space="preserve">配电箱门开关不顺畅、配电箱内开关无标识或标识不清晰；                                                                                                          </w:t>
            </w:r>
          </w:p>
          <w:p>
            <w:pPr>
              <w:widowControl/>
              <w:rPr>
                <w:rFonts w:hint="eastAsia" w:hAnsi="宋体" w:eastAsia="宋体" w:cs="宋体"/>
                <w:color w:val="auto"/>
                <w:sz w:val="18"/>
                <w:szCs w:val="18"/>
                <w:lang w:eastAsia="zh-CN"/>
              </w:rPr>
            </w:pPr>
            <w:r>
              <w:rPr>
                <w:rFonts w:hint="eastAsia" w:hAnsi="宋体" w:cs="宋体"/>
                <w:color w:val="auto"/>
                <w:sz w:val="18"/>
                <w:szCs w:val="18"/>
              </w:rPr>
              <w:t xml:space="preserve">排气扇安装不牢固、不方正、收口不到位；    </w:t>
            </w:r>
          </w:p>
          <w:p>
            <w:pPr>
              <w:widowControl/>
              <w:rPr>
                <w:rFonts w:hAnsi="宋体" w:cs="宋体"/>
                <w:color w:val="auto"/>
                <w:sz w:val="18"/>
                <w:szCs w:val="18"/>
              </w:rPr>
            </w:pPr>
            <w:r>
              <w:rPr>
                <w:rFonts w:hint="eastAsia" w:hAnsi="宋体" w:cs="宋体"/>
                <w:color w:val="auto"/>
                <w:sz w:val="18"/>
                <w:szCs w:val="18"/>
              </w:rPr>
              <w:t xml:space="preserve">电箱、开关盒内电线预留长度不足。                                                                                  </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500</w:t>
            </w:r>
          </w:p>
        </w:tc>
      </w:tr>
      <w:tr>
        <w:tblPrEx>
          <w:tblCellMar>
            <w:top w:w="0" w:type="dxa"/>
            <w:left w:w="108" w:type="dxa"/>
            <w:bottom w:w="0" w:type="dxa"/>
            <w:right w:w="108" w:type="dxa"/>
          </w:tblCellMar>
        </w:tblPrEx>
        <w:trPr>
          <w:trHeight w:val="600" w:hRule="atLeast"/>
        </w:trPr>
        <w:tc>
          <w:tcPr>
            <w:tcW w:w="833" w:type="dxa"/>
            <w:vMerge w:val="restar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hAnsi="宋体" w:eastAsia="宋体" w:cs="宋体"/>
                <w:color w:val="auto"/>
                <w:sz w:val="18"/>
                <w:szCs w:val="18"/>
                <w:lang w:eastAsia="zh-CN"/>
              </w:rPr>
            </w:pPr>
            <w:r>
              <w:rPr>
                <w:rFonts w:hint="eastAsia" w:hAnsi="宋体" w:cs="宋体"/>
                <w:color w:val="auto"/>
                <w:sz w:val="18"/>
                <w:szCs w:val="18"/>
              </w:rPr>
              <w:t>七、卫生间淋浴屏</w:t>
            </w:r>
          </w:p>
          <w:p>
            <w:pPr>
              <w:widowControl/>
              <w:jc w:val="center"/>
              <w:rPr>
                <w:rFonts w:hAnsi="宋体" w:cs="宋体"/>
                <w:color w:val="auto"/>
                <w:sz w:val="18"/>
                <w:szCs w:val="18"/>
              </w:rPr>
            </w:pPr>
            <w:r>
              <w:rPr>
                <w:rFonts w:hint="eastAsia" w:hAnsi="宋体" w:cs="宋体"/>
                <w:color w:val="auto"/>
                <w:sz w:val="18"/>
                <w:szCs w:val="18"/>
              </w:rPr>
              <w:t>(4分)</w:t>
            </w:r>
          </w:p>
        </w:tc>
        <w:tc>
          <w:tcPr>
            <w:tcW w:w="615" w:type="dxa"/>
            <w:tcBorders>
              <w:top w:val="nil"/>
              <w:left w:val="nil"/>
              <w:bottom w:val="single" w:color="auto" w:sz="4" w:space="0"/>
              <w:right w:val="single" w:color="auto" w:sz="4" w:space="0"/>
            </w:tcBorders>
            <w:shd w:val="clear" w:color="000000" w:fill="FFFFFF"/>
            <w:noWrap w:val="0"/>
            <w:vAlign w:val="center"/>
          </w:tcPr>
          <w:p>
            <w:pPr>
              <w:widowControl/>
              <w:jc w:val="center"/>
              <w:rPr>
                <w:rFonts w:hint="eastAsia" w:hAnsi="宋体" w:eastAsia="宋体" w:cs="宋体"/>
                <w:color w:val="auto"/>
                <w:sz w:val="18"/>
                <w:szCs w:val="18"/>
                <w:lang w:eastAsia="zh-CN"/>
              </w:rPr>
            </w:pPr>
            <w:r>
              <w:rPr>
                <w:rFonts w:hint="eastAsia" w:hAnsi="宋体" w:cs="宋体"/>
                <w:color w:val="auto"/>
                <w:sz w:val="18"/>
                <w:szCs w:val="18"/>
              </w:rPr>
              <w:t>主控</w:t>
            </w:r>
          </w:p>
          <w:p>
            <w:pPr>
              <w:widowControl/>
              <w:jc w:val="center"/>
              <w:rPr>
                <w:rFonts w:hAnsi="宋体" w:cs="宋体"/>
                <w:color w:val="auto"/>
                <w:sz w:val="18"/>
                <w:szCs w:val="18"/>
              </w:rPr>
            </w:pPr>
            <w:r>
              <w:rPr>
                <w:rFonts w:hint="eastAsia" w:hAnsi="宋体" w:cs="宋体"/>
                <w:color w:val="auto"/>
                <w:sz w:val="18"/>
                <w:szCs w:val="18"/>
              </w:rPr>
              <w:t>项目</w:t>
            </w:r>
          </w:p>
        </w:tc>
        <w:tc>
          <w:tcPr>
            <w:tcW w:w="7716"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int="eastAsia" w:hAnsi="宋体" w:eastAsia="宋体" w:cs="宋体"/>
                <w:color w:val="auto"/>
                <w:sz w:val="18"/>
                <w:szCs w:val="18"/>
                <w:lang w:eastAsia="zh-CN"/>
              </w:rPr>
            </w:pPr>
            <w:r>
              <w:rPr>
                <w:rFonts w:hint="eastAsia" w:hAnsi="宋体" w:cs="宋体"/>
                <w:color w:val="auto"/>
                <w:sz w:val="18"/>
                <w:szCs w:val="18"/>
              </w:rPr>
              <w:t>品牌、材质、规格不符合设计或合同要求；</w:t>
            </w:r>
          </w:p>
          <w:p>
            <w:pPr>
              <w:widowControl/>
              <w:rPr>
                <w:rFonts w:hAnsi="宋体" w:cs="宋体"/>
                <w:color w:val="auto"/>
                <w:sz w:val="18"/>
                <w:szCs w:val="18"/>
              </w:rPr>
            </w:pPr>
            <w:r>
              <w:rPr>
                <w:rFonts w:hint="eastAsia" w:hAnsi="宋体" w:cs="宋体"/>
                <w:color w:val="auto"/>
                <w:sz w:val="18"/>
                <w:szCs w:val="18"/>
              </w:rPr>
              <w:t>未按要求施工（如使用冲击钻等）造成瓷片空鼓或破损。</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1000</w:t>
            </w:r>
          </w:p>
        </w:tc>
      </w:tr>
      <w:tr>
        <w:tblPrEx>
          <w:tblCellMar>
            <w:top w:w="0" w:type="dxa"/>
            <w:left w:w="108" w:type="dxa"/>
            <w:bottom w:w="0" w:type="dxa"/>
            <w:right w:w="108" w:type="dxa"/>
          </w:tblCellMar>
        </w:tblPrEx>
        <w:trPr>
          <w:trHeight w:val="900" w:hRule="atLeast"/>
        </w:trPr>
        <w:tc>
          <w:tcPr>
            <w:tcW w:w="833"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rPr>
                <w:rFonts w:hAnsi="宋体" w:cs="宋体"/>
                <w:color w:val="auto"/>
                <w:sz w:val="18"/>
                <w:szCs w:val="18"/>
              </w:rPr>
            </w:pPr>
          </w:p>
        </w:tc>
        <w:tc>
          <w:tcPr>
            <w:tcW w:w="615" w:type="dxa"/>
            <w:tcBorders>
              <w:top w:val="nil"/>
              <w:left w:val="nil"/>
              <w:bottom w:val="single" w:color="auto" w:sz="4" w:space="0"/>
              <w:right w:val="single" w:color="auto" w:sz="4" w:space="0"/>
            </w:tcBorders>
            <w:shd w:val="clear" w:color="000000" w:fill="FFFFFF"/>
            <w:noWrap w:val="0"/>
            <w:vAlign w:val="center"/>
          </w:tcPr>
          <w:p>
            <w:pPr>
              <w:widowControl/>
              <w:jc w:val="center"/>
              <w:rPr>
                <w:rFonts w:hint="eastAsia" w:hAnsi="宋体" w:eastAsia="宋体" w:cs="宋体"/>
                <w:color w:val="auto"/>
                <w:sz w:val="18"/>
                <w:szCs w:val="18"/>
                <w:lang w:eastAsia="zh-CN"/>
              </w:rPr>
            </w:pPr>
            <w:r>
              <w:rPr>
                <w:rFonts w:hint="eastAsia" w:hAnsi="宋体" w:cs="宋体"/>
                <w:color w:val="auto"/>
                <w:sz w:val="18"/>
                <w:szCs w:val="18"/>
              </w:rPr>
              <w:t>工艺</w:t>
            </w:r>
          </w:p>
          <w:p>
            <w:pPr>
              <w:widowControl/>
              <w:jc w:val="center"/>
              <w:rPr>
                <w:rFonts w:hint="eastAsia" w:hAnsi="宋体" w:eastAsia="宋体" w:cs="宋体"/>
                <w:color w:val="auto"/>
                <w:sz w:val="18"/>
                <w:szCs w:val="18"/>
                <w:lang w:eastAsia="zh-CN"/>
              </w:rPr>
            </w:pPr>
            <w:r>
              <w:rPr>
                <w:rFonts w:hint="eastAsia" w:hAnsi="宋体" w:cs="宋体"/>
                <w:color w:val="auto"/>
                <w:sz w:val="18"/>
                <w:szCs w:val="18"/>
              </w:rPr>
              <w:t>要求</w:t>
            </w:r>
          </w:p>
          <w:p>
            <w:pPr>
              <w:widowControl/>
              <w:jc w:val="center"/>
              <w:rPr>
                <w:rFonts w:hAnsi="宋体" w:cs="宋体"/>
                <w:color w:val="auto"/>
                <w:sz w:val="18"/>
                <w:szCs w:val="18"/>
              </w:rPr>
            </w:pPr>
            <w:r>
              <w:rPr>
                <w:rFonts w:hint="eastAsia" w:hAnsi="宋体" w:cs="宋体"/>
                <w:color w:val="auto"/>
                <w:sz w:val="18"/>
                <w:szCs w:val="18"/>
              </w:rPr>
              <w:t>(2分)</w:t>
            </w:r>
          </w:p>
        </w:tc>
        <w:tc>
          <w:tcPr>
            <w:tcW w:w="7716"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int="eastAsia" w:hAnsi="宋体" w:eastAsia="宋体" w:cs="宋体"/>
                <w:color w:val="auto"/>
                <w:sz w:val="18"/>
                <w:szCs w:val="18"/>
                <w:lang w:eastAsia="zh-CN"/>
              </w:rPr>
            </w:pPr>
            <w:r>
              <w:rPr>
                <w:rFonts w:hint="eastAsia" w:hAnsi="宋体" w:cs="宋体"/>
                <w:color w:val="auto"/>
                <w:sz w:val="18"/>
                <w:szCs w:val="18"/>
              </w:rPr>
              <w:t xml:space="preserve">淋浴屏漏装挡水胶条；                                                             </w:t>
            </w:r>
          </w:p>
          <w:p>
            <w:pPr>
              <w:widowControl/>
              <w:rPr>
                <w:rFonts w:hAnsi="宋体" w:cs="宋体"/>
                <w:color w:val="auto"/>
                <w:sz w:val="18"/>
                <w:szCs w:val="18"/>
              </w:rPr>
            </w:pPr>
            <w:r>
              <w:rPr>
                <w:rFonts w:hint="eastAsia" w:hAnsi="宋体" w:cs="宋体"/>
                <w:color w:val="auto"/>
                <w:sz w:val="18"/>
                <w:szCs w:val="18"/>
              </w:rPr>
              <w:t>淋浴屏安装位置不正确、安装不牢固。</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500</w:t>
            </w:r>
          </w:p>
        </w:tc>
      </w:tr>
      <w:tr>
        <w:tblPrEx>
          <w:tblCellMar>
            <w:top w:w="0" w:type="dxa"/>
            <w:left w:w="108" w:type="dxa"/>
            <w:bottom w:w="0" w:type="dxa"/>
            <w:right w:w="108" w:type="dxa"/>
          </w:tblCellMar>
        </w:tblPrEx>
        <w:trPr>
          <w:trHeight w:val="1219" w:hRule="atLeast"/>
        </w:trPr>
        <w:tc>
          <w:tcPr>
            <w:tcW w:w="833"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rPr>
                <w:rFonts w:hAnsi="宋体" w:cs="宋体"/>
                <w:color w:val="auto"/>
                <w:sz w:val="18"/>
                <w:szCs w:val="18"/>
              </w:rPr>
            </w:pPr>
          </w:p>
        </w:tc>
        <w:tc>
          <w:tcPr>
            <w:tcW w:w="615" w:type="dxa"/>
            <w:tcBorders>
              <w:top w:val="nil"/>
              <w:left w:val="nil"/>
              <w:bottom w:val="single" w:color="auto" w:sz="4" w:space="0"/>
              <w:right w:val="single" w:color="auto" w:sz="4" w:space="0"/>
            </w:tcBorders>
            <w:shd w:val="clear" w:color="000000" w:fill="FFFFFF"/>
            <w:noWrap w:val="0"/>
            <w:vAlign w:val="center"/>
          </w:tcPr>
          <w:p>
            <w:pPr>
              <w:widowControl/>
              <w:jc w:val="center"/>
              <w:rPr>
                <w:rFonts w:hint="eastAsia" w:hAnsi="宋体" w:eastAsia="宋体" w:cs="宋体"/>
                <w:color w:val="auto"/>
                <w:sz w:val="18"/>
                <w:szCs w:val="18"/>
                <w:lang w:eastAsia="zh-CN"/>
              </w:rPr>
            </w:pPr>
            <w:r>
              <w:rPr>
                <w:rFonts w:hint="eastAsia" w:hAnsi="宋体" w:cs="宋体"/>
                <w:color w:val="auto"/>
                <w:sz w:val="18"/>
                <w:szCs w:val="18"/>
              </w:rPr>
              <w:t>观感</w:t>
            </w:r>
          </w:p>
          <w:p>
            <w:pPr>
              <w:widowControl/>
              <w:jc w:val="center"/>
              <w:rPr>
                <w:rFonts w:hint="eastAsia" w:hAnsi="宋体" w:eastAsia="宋体" w:cs="宋体"/>
                <w:color w:val="auto"/>
                <w:sz w:val="18"/>
                <w:szCs w:val="18"/>
                <w:lang w:eastAsia="zh-CN"/>
              </w:rPr>
            </w:pPr>
            <w:r>
              <w:rPr>
                <w:rFonts w:hint="eastAsia" w:hAnsi="宋体" w:cs="宋体"/>
                <w:color w:val="auto"/>
                <w:sz w:val="18"/>
                <w:szCs w:val="18"/>
              </w:rPr>
              <w:t>质量</w:t>
            </w:r>
          </w:p>
          <w:p>
            <w:pPr>
              <w:widowControl/>
              <w:jc w:val="center"/>
              <w:rPr>
                <w:rFonts w:hAnsi="宋体" w:cs="宋体"/>
                <w:color w:val="auto"/>
                <w:sz w:val="18"/>
                <w:szCs w:val="18"/>
              </w:rPr>
            </w:pPr>
            <w:r>
              <w:rPr>
                <w:rFonts w:hint="eastAsia" w:hAnsi="宋体" w:cs="宋体"/>
                <w:color w:val="auto"/>
                <w:sz w:val="18"/>
                <w:szCs w:val="18"/>
              </w:rPr>
              <w:t>(2分)</w:t>
            </w:r>
          </w:p>
        </w:tc>
        <w:tc>
          <w:tcPr>
            <w:tcW w:w="7716"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int="eastAsia" w:hAnsi="宋体" w:eastAsia="宋体" w:cs="宋体"/>
                <w:color w:val="auto"/>
                <w:sz w:val="18"/>
                <w:szCs w:val="18"/>
                <w:lang w:eastAsia="zh-CN"/>
              </w:rPr>
            </w:pPr>
            <w:r>
              <w:rPr>
                <w:rFonts w:hint="eastAsia" w:hAnsi="宋体" w:cs="宋体"/>
                <w:color w:val="auto"/>
                <w:sz w:val="18"/>
                <w:szCs w:val="18"/>
              </w:rPr>
              <w:t xml:space="preserve">淋浴屏切口处未使用装饰配件收口；                                      </w:t>
            </w:r>
          </w:p>
          <w:p>
            <w:pPr>
              <w:widowControl/>
              <w:rPr>
                <w:rFonts w:hint="eastAsia" w:hAnsi="宋体" w:eastAsia="宋体" w:cs="宋体"/>
                <w:color w:val="auto"/>
                <w:sz w:val="18"/>
                <w:szCs w:val="18"/>
                <w:lang w:eastAsia="zh-CN"/>
              </w:rPr>
            </w:pPr>
            <w:r>
              <w:rPr>
                <w:rFonts w:hint="eastAsia" w:hAnsi="宋体" w:cs="宋体"/>
                <w:color w:val="auto"/>
                <w:sz w:val="18"/>
                <w:szCs w:val="18"/>
              </w:rPr>
              <w:t xml:space="preserve">淋浴屏开启及关闭不正常、有杂音；                                       </w:t>
            </w:r>
          </w:p>
          <w:p>
            <w:pPr>
              <w:widowControl/>
              <w:rPr>
                <w:rFonts w:hint="eastAsia" w:hAnsi="宋体" w:eastAsia="宋体" w:cs="宋体"/>
                <w:color w:val="auto"/>
                <w:sz w:val="18"/>
                <w:szCs w:val="18"/>
                <w:lang w:eastAsia="zh-CN"/>
              </w:rPr>
            </w:pPr>
            <w:r>
              <w:rPr>
                <w:rFonts w:hint="eastAsia" w:hAnsi="宋体" w:cs="宋体"/>
                <w:color w:val="auto"/>
                <w:sz w:val="18"/>
                <w:szCs w:val="18"/>
              </w:rPr>
              <w:t xml:space="preserve">淋浴屏未打胶、打胶不顺直、有脱落现象；                                              </w:t>
            </w:r>
          </w:p>
          <w:p>
            <w:pPr>
              <w:widowControl/>
              <w:rPr>
                <w:rFonts w:hAnsi="宋体" w:cs="宋体"/>
                <w:color w:val="auto"/>
                <w:sz w:val="18"/>
                <w:szCs w:val="18"/>
              </w:rPr>
            </w:pPr>
            <w:r>
              <w:rPr>
                <w:rFonts w:hint="eastAsia" w:hAnsi="宋体" w:cs="宋体"/>
                <w:color w:val="auto"/>
                <w:sz w:val="18"/>
                <w:szCs w:val="18"/>
              </w:rPr>
              <w:t xml:space="preserve">各部件表面有毛刺、锈蚀、粘污、划痕、色泽不均匀。     </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500</w:t>
            </w:r>
          </w:p>
        </w:tc>
      </w:tr>
      <w:tr>
        <w:tblPrEx>
          <w:tblCellMar>
            <w:top w:w="0" w:type="dxa"/>
            <w:left w:w="108" w:type="dxa"/>
            <w:bottom w:w="0" w:type="dxa"/>
            <w:right w:w="108" w:type="dxa"/>
          </w:tblCellMar>
        </w:tblPrEx>
        <w:trPr>
          <w:trHeight w:val="810" w:hRule="atLeast"/>
        </w:trPr>
        <w:tc>
          <w:tcPr>
            <w:tcW w:w="833" w:type="dxa"/>
            <w:vMerge w:val="restar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 xml:space="preserve">八、石材工程 </w:t>
            </w:r>
          </w:p>
        </w:tc>
        <w:tc>
          <w:tcPr>
            <w:tcW w:w="615" w:type="dxa"/>
            <w:tcBorders>
              <w:top w:val="nil"/>
              <w:left w:val="nil"/>
              <w:bottom w:val="single" w:color="auto" w:sz="4" w:space="0"/>
              <w:right w:val="single" w:color="auto" w:sz="4" w:space="0"/>
            </w:tcBorders>
            <w:shd w:val="clear" w:color="000000" w:fill="FFFFFF"/>
            <w:noWrap w:val="0"/>
            <w:vAlign w:val="center"/>
          </w:tcPr>
          <w:p>
            <w:pPr>
              <w:widowControl/>
              <w:jc w:val="center"/>
              <w:rPr>
                <w:rFonts w:hint="eastAsia" w:hAnsi="宋体" w:eastAsia="宋体" w:cs="宋体"/>
                <w:color w:val="auto"/>
                <w:sz w:val="18"/>
                <w:szCs w:val="18"/>
                <w:lang w:eastAsia="zh-CN"/>
              </w:rPr>
            </w:pPr>
            <w:r>
              <w:rPr>
                <w:rFonts w:hint="eastAsia" w:hAnsi="宋体" w:cs="宋体"/>
                <w:color w:val="auto"/>
                <w:sz w:val="18"/>
                <w:szCs w:val="18"/>
              </w:rPr>
              <w:t>主控</w:t>
            </w:r>
          </w:p>
          <w:p>
            <w:pPr>
              <w:widowControl/>
              <w:jc w:val="center"/>
              <w:rPr>
                <w:rFonts w:hAnsi="宋体" w:cs="宋体"/>
                <w:color w:val="auto"/>
                <w:sz w:val="18"/>
                <w:szCs w:val="18"/>
              </w:rPr>
            </w:pPr>
            <w:r>
              <w:rPr>
                <w:rFonts w:hint="eastAsia" w:hAnsi="宋体" w:cs="宋体"/>
                <w:color w:val="auto"/>
                <w:sz w:val="18"/>
                <w:szCs w:val="18"/>
              </w:rPr>
              <w:t>项目</w:t>
            </w:r>
          </w:p>
        </w:tc>
        <w:tc>
          <w:tcPr>
            <w:tcW w:w="7716"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int="eastAsia" w:hAnsi="宋体" w:eastAsia="宋体" w:cs="宋体"/>
                <w:color w:val="auto"/>
                <w:sz w:val="18"/>
                <w:szCs w:val="18"/>
                <w:lang w:eastAsia="zh-CN"/>
              </w:rPr>
            </w:pPr>
            <w:r>
              <w:rPr>
                <w:rFonts w:hint="eastAsia" w:hAnsi="宋体" w:cs="宋体"/>
                <w:color w:val="auto"/>
                <w:sz w:val="18"/>
                <w:szCs w:val="18"/>
              </w:rPr>
              <w:t>龙骨间距及相关材料不符合设计要求；</w:t>
            </w:r>
          </w:p>
          <w:p>
            <w:pPr>
              <w:widowControl/>
              <w:rPr>
                <w:rFonts w:hAnsi="宋体" w:cs="宋体"/>
                <w:color w:val="auto"/>
                <w:sz w:val="18"/>
                <w:szCs w:val="18"/>
              </w:rPr>
            </w:pPr>
            <w:r>
              <w:rPr>
                <w:rFonts w:hint="eastAsia" w:hAnsi="宋体" w:cs="宋体"/>
                <w:color w:val="auto"/>
                <w:sz w:val="18"/>
                <w:szCs w:val="18"/>
              </w:rPr>
              <w:t>用其他材料代替结构胶使用。</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1000</w:t>
            </w:r>
          </w:p>
        </w:tc>
      </w:tr>
      <w:tr>
        <w:tblPrEx>
          <w:tblCellMar>
            <w:top w:w="0" w:type="dxa"/>
            <w:left w:w="108" w:type="dxa"/>
            <w:bottom w:w="0" w:type="dxa"/>
            <w:right w:w="108" w:type="dxa"/>
          </w:tblCellMar>
        </w:tblPrEx>
        <w:trPr>
          <w:trHeight w:val="1950" w:hRule="atLeast"/>
        </w:trPr>
        <w:tc>
          <w:tcPr>
            <w:tcW w:w="833"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rPr>
                <w:rFonts w:hAnsi="宋体" w:cs="宋体"/>
                <w:color w:val="auto"/>
                <w:sz w:val="18"/>
                <w:szCs w:val="18"/>
              </w:rPr>
            </w:pPr>
          </w:p>
        </w:tc>
        <w:tc>
          <w:tcPr>
            <w:tcW w:w="615"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龙骨</w:t>
            </w:r>
          </w:p>
        </w:tc>
        <w:tc>
          <w:tcPr>
            <w:tcW w:w="7716"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int="eastAsia" w:hAnsi="宋体" w:eastAsia="宋体" w:cs="宋体"/>
                <w:color w:val="auto"/>
                <w:sz w:val="18"/>
                <w:szCs w:val="18"/>
                <w:lang w:eastAsia="zh-CN"/>
              </w:rPr>
            </w:pPr>
            <w:r>
              <w:rPr>
                <w:rFonts w:hint="eastAsia" w:hAnsi="宋体" w:cs="宋体"/>
                <w:color w:val="auto"/>
                <w:sz w:val="18"/>
                <w:szCs w:val="18"/>
              </w:rPr>
              <w:t>安装锚栓缺少弹簧垫圈、螺母松动、锚孔钻孔过浅、化学药剂未填满锚孔；</w:t>
            </w:r>
          </w:p>
          <w:p>
            <w:pPr>
              <w:widowControl/>
              <w:rPr>
                <w:rFonts w:hint="eastAsia" w:hAnsi="宋体" w:eastAsia="宋体" w:cs="宋体"/>
                <w:color w:val="auto"/>
                <w:sz w:val="18"/>
                <w:szCs w:val="18"/>
                <w:lang w:eastAsia="zh-CN"/>
              </w:rPr>
            </w:pPr>
            <w:r>
              <w:rPr>
                <w:rFonts w:hint="eastAsia" w:hAnsi="宋体" w:cs="宋体"/>
                <w:color w:val="auto"/>
                <w:sz w:val="18"/>
                <w:szCs w:val="18"/>
              </w:rPr>
              <w:t>挂件放置不正确，安装在横龙骨底面；</w:t>
            </w:r>
          </w:p>
          <w:p>
            <w:pPr>
              <w:widowControl/>
              <w:rPr>
                <w:rFonts w:hint="eastAsia" w:hAnsi="宋体" w:eastAsia="宋体" w:cs="宋体"/>
                <w:color w:val="auto"/>
                <w:sz w:val="18"/>
                <w:szCs w:val="18"/>
                <w:lang w:eastAsia="zh-CN"/>
              </w:rPr>
            </w:pPr>
            <w:r>
              <w:rPr>
                <w:rFonts w:hint="eastAsia" w:hAnsi="宋体" w:cs="宋体"/>
                <w:color w:val="auto"/>
                <w:sz w:val="18"/>
                <w:szCs w:val="18"/>
              </w:rPr>
              <w:t xml:space="preserve">后置锚板、膨胀螺栓施工破坏防水层未修复的，周边未用结构胶封闭；                                  </w:t>
            </w:r>
          </w:p>
          <w:p>
            <w:pPr>
              <w:widowControl/>
              <w:rPr>
                <w:rFonts w:hint="eastAsia" w:hAnsi="宋体" w:eastAsia="宋体" w:cs="宋体"/>
                <w:color w:val="auto"/>
                <w:sz w:val="18"/>
                <w:szCs w:val="18"/>
                <w:lang w:eastAsia="zh-CN"/>
              </w:rPr>
            </w:pPr>
            <w:r>
              <w:rPr>
                <w:rFonts w:hint="eastAsia" w:hAnsi="宋体" w:cs="宋体"/>
                <w:color w:val="auto"/>
                <w:sz w:val="18"/>
                <w:szCs w:val="18"/>
              </w:rPr>
              <w:t xml:space="preserve">钢构架各部位未做好防锈；龙骨焊接不符合要求；                        </w:t>
            </w:r>
          </w:p>
          <w:p>
            <w:pPr>
              <w:widowControl/>
              <w:rPr>
                <w:rFonts w:hint="eastAsia" w:hAnsi="宋体" w:eastAsia="宋体" w:cs="宋体"/>
                <w:color w:val="auto"/>
                <w:sz w:val="18"/>
                <w:szCs w:val="18"/>
                <w:lang w:eastAsia="zh-CN"/>
              </w:rPr>
            </w:pPr>
            <w:r>
              <w:rPr>
                <w:rFonts w:hint="eastAsia" w:hAnsi="宋体" w:cs="宋体"/>
                <w:color w:val="auto"/>
                <w:sz w:val="18"/>
                <w:szCs w:val="18"/>
              </w:rPr>
              <w:t xml:space="preserve">挂件与横龙骨连接不符合要求，锚板、锚栓安装位置、方向不符合要求；                                                                                                                                                     </w:t>
            </w:r>
          </w:p>
          <w:p>
            <w:pPr>
              <w:widowControl/>
              <w:rPr>
                <w:rFonts w:hAnsi="宋体" w:cs="宋体"/>
                <w:color w:val="auto"/>
                <w:sz w:val="18"/>
                <w:szCs w:val="18"/>
              </w:rPr>
            </w:pPr>
            <w:r>
              <w:rPr>
                <w:rFonts w:hint="eastAsia" w:hAnsi="宋体" w:cs="宋体"/>
                <w:color w:val="auto"/>
                <w:sz w:val="18"/>
                <w:szCs w:val="18"/>
              </w:rPr>
              <w:t>石材的防雷装置未与主体结构防雷装置可靠连接。</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500</w:t>
            </w:r>
          </w:p>
        </w:tc>
      </w:tr>
      <w:tr>
        <w:tblPrEx>
          <w:tblCellMar>
            <w:top w:w="0" w:type="dxa"/>
            <w:left w:w="108" w:type="dxa"/>
            <w:bottom w:w="0" w:type="dxa"/>
            <w:right w:w="108" w:type="dxa"/>
          </w:tblCellMar>
        </w:tblPrEx>
        <w:trPr>
          <w:trHeight w:val="1905" w:hRule="atLeast"/>
        </w:trPr>
        <w:tc>
          <w:tcPr>
            <w:tcW w:w="833"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rPr>
                <w:rFonts w:hAnsi="宋体" w:cs="宋体"/>
                <w:color w:val="auto"/>
                <w:sz w:val="18"/>
                <w:szCs w:val="18"/>
              </w:rPr>
            </w:pPr>
          </w:p>
        </w:tc>
        <w:tc>
          <w:tcPr>
            <w:tcW w:w="615" w:type="dxa"/>
            <w:tcBorders>
              <w:top w:val="nil"/>
              <w:left w:val="nil"/>
              <w:bottom w:val="single" w:color="auto" w:sz="4" w:space="0"/>
              <w:right w:val="single" w:color="auto" w:sz="4" w:space="0"/>
            </w:tcBorders>
            <w:shd w:val="clear" w:color="000000" w:fill="FFFFFF"/>
            <w:noWrap w:val="0"/>
            <w:vAlign w:val="center"/>
          </w:tcPr>
          <w:p>
            <w:pPr>
              <w:widowControl/>
              <w:jc w:val="center"/>
              <w:rPr>
                <w:rFonts w:hint="eastAsia" w:hAnsi="宋体" w:eastAsia="宋体" w:cs="宋体"/>
                <w:color w:val="auto"/>
                <w:sz w:val="18"/>
                <w:szCs w:val="18"/>
                <w:lang w:eastAsia="zh-CN"/>
              </w:rPr>
            </w:pPr>
            <w:r>
              <w:rPr>
                <w:rFonts w:hint="eastAsia" w:hAnsi="宋体" w:cs="宋体"/>
                <w:color w:val="auto"/>
                <w:sz w:val="18"/>
                <w:szCs w:val="18"/>
              </w:rPr>
              <w:t>石材</w:t>
            </w:r>
          </w:p>
          <w:p>
            <w:pPr>
              <w:widowControl/>
              <w:jc w:val="center"/>
              <w:rPr>
                <w:rFonts w:hAnsi="宋体" w:cs="宋体"/>
                <w:color w:val="auto"/>
                <w:sz w:val="18"/>
                <w:szCs w:val="18"/>
              </w:rPr>
            </w:pPr>
            <w:r>
              <w:rPr>
                <w:rFonts w:hint="eastAsia" w:hAnsi="宋体" w:cs="宋体"/>
                <w:color w:val="auto"/>
                <w:sz w:val="18"/>
                <w:szCs w:val="18"/>
              </w:rPr>
              <w:t>安装</w:t>
            </w:r>
          </w:p>
        </w:tc>
        <w:tc>
          <w:tcPr>
            <w:tcW w:w="7716"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int="eastAsia" w:hAnsi="宋体" w:eastAsia="宋体" w:cs="宋体"/>
                <w:color w:val="auto"/>
                <w:sz w:val="18"/>
                <w:szCs w:val="18"/>
                <w:lang w:eastAsia="zh-CN"/>
              </w:rPr>
            </w:pPr>
            <w:r>
              <w:rPr>
                <w:rFonts w:hint="eastAsia" w:hAnsi="宋体" w:cs="宋体"/>
                <w:color w:val="auto"/>
                <w:sz w:val="18"/>
                <w:szCs w:val="18"/>
              </w:rPr>
              <w:t>各类雕花安装时没有上挂件直接用胶粘结；</w:t>
            </w:r>
          </w:p>
          <w:p>
            <w:pPr>
              <w:widowControl/>
              <w:rPr>
                <w:rFonts w:hint="eastAsia" w:hAnsi="宋体" w:cs="宋体"/>
                <w:color w:val="auto"/>
                <w:sz w:val="18"/>
                <w:szCs w:val="18"/>
              </w:rPr>
            </w:pPr>
            <w:r>
              <w:rPr>
                <w:rFonts w:hint="eastAsia" w:hAnsi="宋体" w:cs="宋体"/>
                <w:color w:val="auto"/>
                <w:sz w:val="18"/>
                <w:szCs w:val="18"/>
              </w:rPr>
              <w:t>阳露台内侧干挂石材下部未预留，在防水泛水施工前就封闭；</w:t>
            </w:r>
          </w:p>
          <w:p>
            <w:pPr>
              <w:widowControl/>
              <w:rPr>
                <w:rFonts w:hint="eastAsia" w:hAnsi="宋体" w:eastAsia="宋体" w:cs="宋体"/>
                <w:color w:val="auto"/>
                <w:sz w:val="18"/>
                <w:szCs w:val="18"/>
                <w:lang w:eastAsia="zh-CN"/>
              </w:rPr>
            </w:pPr>
            <w:r>
              <w:rPr>
                <w:rFonts w:hint="eastAsia" w:hAnsi="宋体" w:cs="宋体"/>
                <w:color w:val="auto"/>
                <w:sz w:val="18"/>
                <w:szCs w:val="18"/>
              </w:rPr>
              <w:t xml:space="preserve">在檐口、阳台底、窗顶线等位置石材未设置滴水线的；                                   </w:t>
            </w:r>
          </w:p>
          <w:p>
            <w:pPr>
              <w:widowControl/>
              <w:rPr>
                <w:rFonts w:hint="eastAsia" w:hAnsi="宋体" w:eastAsia="宋体" w:cs="宋体"/>
                <w:color w:val="auto"/>
                <w:sz w:val="18"/>
                <w:szCs w:val="18"/>
                <w:lang w:eastAsia="zh-CN"/>
              </w:rPr>
            </w:pPr>
            <w:r>
              <w:rPr>
                <w:rFonts w:hint="eastAsia" w:hAnsi="宋体" w:cs="宋体"/>
                <w:color w:val="auto"/>
                <w:sz w:val="18"/>
                <w:szCs w:val="18"/>
              </w:rPr>
              <w:t xml:space="preserve">石材安装留设朝天缝；石材缝隙打胶不符合要求；  </w:t>
            </w:r>
          </w:p>
          <w:p>
            <w:pPr>
              <w:widowControl/>
              <w:rPr>
                <w:rFonts w:hAnsi="宋体" w:cs="宋体"/>
                <w:color w:val="auto"/>
                <w:sz w:val="18"/>
                <w:szCs w:val="18"/>
              </w:rPr>
            </w:pPr>
            <w:r>
              <w:rPr>
                <w:rFonts w:hint="eastAsia" w:hAnsi="宋体" w:cs="宋体"/>
                <w:color w:val="auto"/>
                <w:sz w:val="18"/>
                <w:szCs w:val="18"/>
              </w:rPr>
              <w:t>表面不平整、洁净、未做好防污保护，有污染、缺损和裂痕；造型、立面分格、颜色、光泽、花纹、图案不符合图纸要求。</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500</w:t>
            </w:r>
          </w:p>
        </w:tc>
      </w:tr>
      <w:tr>
        <w:tblPrEx>
          <w:tblCellMar>
            <w:top w:w="0" w:type="dxa"/>
            <w:left w:w="108" w:type="dxa"/>
            <w:bottom w:w="0" w:type="dxa"/>
            <w:right w:w="108" w:type="dxa"/>
          </w:tblCellMar>
        </w:tblPrEx>
        <w:trPr>
          <w:trHeight w:val="326" w:hRule="atLeast"/>
        </w:trPr>
        <w:tc>
          <w:tcPr>
            <w:tcW w:w="833" w:type="dxa"/>
            <w:vMerge w:val="restart"/>
            <w:tcBorders>
              <w:top w:val="single" w:color="auto" w:sz="4" w:space="0"/>
              <w:left w:val="single" w:color="auto" w:sz="4" w:space="0"/>
              <w:bottom w:val="single" w:color="000000" w:sz="4" w:space="0"/>
              <w:right w:val="single" w:color="000000"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九、木地板</w:t>
            </w:r>
          </w:p>
        </w:tc>
        <w:tc>
          <w:tcPr>
            <w:tcW w:w="615" w:type="dxa"/>
            <w:vMerge w:val="restart"/>
            <w:tcBorders>
              <w:top w:val="nil"/>
              <w:left w:val="single" w:color="auto" w:sz="4" w:space="0"/>
              <w:bottom w:val="single" w:color="000000" w:sz="4" w:space="0"/>
              <w:right w:val="single" w:color="auto" w:sz="4" w:space="0"/>
            </w:tcBorders>
            <w:shd w:val="clear" w:color="000000" w:fill="FFFFFF"/>
            <w:noWrap w:val="0"/>
            <w:vAlign w:val="center"/>
          </w:tcPr>
          <w:p>
            <w:pPr>
              <w:widowControl/>
              <w:jc w:val="center"/>
              <w:rPr>
                <w:rFonts w:hint="eastAsia" w:hAnsi="宋体" w:eastAsia="宋体" w:cs="宋体"/>
                <w:color w:val="auto"/>
                <w:sz w:val="18"/>
                <w:szCs w:val="18"/>
                <w:lang w:eastAsia="zh-CN"/>
              </w:rPr>
            </w:pPr>
            <w:r>
              <w:rPr>
                <w:rFonts w:hint="eastAsia" w:hAnsi="宋体" w:cs="宋体"/>
                <w:color w:val="auto"/>
                <w:sz w:val="18"/>
                <w:szCs w:val="18"/>
              </w:rPr>
              <w:t>主控</w:t>
            </w:r>
          </w:p>
          <w:p>
            <w:pPr>
              <w:widowControl/>
              <w:jc w:val="center"/>
              <w:rPr>
                <w:rFonts w:hAnsi="宋体" w:cs="宋体"/>
                <w:color w:val="auto"/>
                <w:sz w:val="18"/>
                <w:szCs w:val="18"/>
              </w:rPr>
            </w:pPr>
            <w:r>
              <w:rPr>
                <w:rFonts w:hint="eastAsia" w:hAnsi="宋体" w:cs="宋体"/>
                <w:color w:val="auto"/>
                <w:sz w:val="18"/>
                <w:szCs w:val="18"/>
              </w:rPr>
              <w:t>项目</w:t>
            </w:r>
          </w:p>
        </w:tc>
        <w:tc>
          <w:tcPr>
            <w:tcW w:w="7716" w:type="dxa"/>
            <w:vMerge w:val="restart"/>
            <w:tcBorders>
              <w:top w:val="single" w:color="auto" w:sz="4" w:space="0"/>
              <w:left w:val="single" w:color="auto" w:sz="4" w:space="0"/>
              <w:bottom w:val="single" w:color="000000" w:sz="4" w:space="0"/>
              <w:right w:val="nil"/>
            </w:tcBorders>
            <w:shd w:val="clear" w:color="000000" w:fill="FFFFFF"/>
            <w:noWrap w:val="0"/>
            <w:vAlign w:val="center"/>
          </w:tcPr>
          <w:p>
            <w:pPr>
              <w:widowControl/>
              <w:rPr>
                <w:rFonts w:hint="eastAsia" w:hAnsi="宋体" w:eastAsia="宋体" w:cs="宋体"/>
                <w:color w:val="auto"/>
                <w:sz w:val="18"/>
                <w:szCs w:val="18"/>
                <w:lang w:eastAsia="zh-CN"/>
              </w:rPr>
            </w:pPr>
            <w:r>
              <w:rPr>
                <w:rFonts w:hint="eastAsia" w:hAnsi="宋体" w:cs="宋体"/>
                <w:color w:val="auto"/>
                <w:sz w:val="18"/>
                <w:szCs w:val="18"/>
              </w:rPr>
              <w:t>品牌、材质、规格不符合设计或合同要求；</w:t>
            </w:r>
          </w:p>
          <w:p>
            <w:pPr>
              <w:widowControl/>
              <w:rPr>
                <w:rFonts w:hAnsi="宋体" w:cs="宋体"/>
                <w:color w:val="auto"/>
                <w:sz w:val="18"/>
                <w:szCs w:val="18"/>
              </w:rPr>
            </w:pPr>
            <w:r>
              <w:rPr>
                <w:rFonts w:hint="eastAsia" w:hAnsi="宋体" w:cs="宋体"/>
                <w:color w:val="auto"/>
                <w:sz w:val="18"/>
                <w:szCs w:val="18"/>
              </w:rPr>
              <w:t>地板铺装完成后有严重起拱、翘曲、大小头。</w:t>
            </w:r>
          </w:p>
        </w:tc>
        <w:tc>
          <w:tcPr>
            <w:tcW w:w="705" w:type="dxa"/>
            <w:vMerge w:val="restart"/>
            <w:tcBorders>
              <w:top w:val="nil"/>
              <w:left w:val="single" w:color="auto" w:sz="4" w:space="0"/>
              <w:bottom w:val="single" w:color="000000"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1000</w:t>
            </w:r>
          </w:p>
        </w:tc>
      </w:tr>
      <w:tr>
        <w:tblPrEx>
          <w:tblCellMar>
            <w:top w:w="0" w:type="dxa"/>
            <w:left w:w="108" w:type="dxa"/>
            <w:bottom w:w="0" w:type="dxa"/>
            <w:right w:w="108" w:type="dxa"/>
          </w:tblCellMar>
        </w:tblPrEx>
        <w:trPr>
          <w:trHeight w:val="585" w:hRule="atLeast"/>
        </w:trPr>
        <w:tc>
          <w:tcPr>
            <w:tcW w:w="833" w:type="dxa"/>
            <w:vMerge w:val="continue"/>
            <w:tcBorders>
              <w:top w:val="single" w:color="auto" w:sz="4" w:space="0"/>
              <w:left w:val="single" w:color="auto" w:sz="4" w:space="0"/>
              <w:bottom w:val="single" w:color="000000" w:sz="4" w:space="0"/>
              <w:right w:val="single" w:color="000000" w:sz="4" w:space="0"/>
            </w:tcBorders>
            <w:noWrap w:val="0"/>
            <w:vAlign w:val="center"/>
          </w:tcPr>
          <w:p>
            <w:pPr>
              <w:widowControl/>
              <w:rPr>
                <w:rFonts w:hAnsi="宋体" w:cs="宋体"/>
                <w:color w:val="auto"/>
                <w:sz w:val="18"/>
                <w:szCs w:val="18"/>
              </w:rPr>
            </w:pPr>
          </w:p>
        </w:tc>
        <w:tc>
          <w:tcPr>
            <w:tcW w:w="615" w:type="dxa"/>
            <w:vMerge w:val="continue"/>
            <w:tcBorders>
              <w:top w:val="nil"/>
              <w:left w:val="single" w:color="auto" w:sz="4" w:space="0"/>
              <w:bottom w:val="single" w:color="000000" w:sz="4" w:space="0"/>
              <w:right w:val="single" w:color="auto" w:sz="4" w:space="0"/>
            </w:tcBorders>
            <w:noWrap w:val="0"/>
            <w:vAlign w:val="center"/>
          </w:tcPr>
          <w:p>
            <w:pPr>
              <w:widowControl/>
              <w:rPr>
                <w:rFonts w:hAnsi="宋体" w:cs="宋体"/>
                <w:color w:val="auto"/>
                <w:sz w:val="18"/>
                <w:szCs w:val="18"/>
              </w:rPr>
            </w:pPr>
          </w:p>
        </w:tc>
        <w:tc>
          <w:tcPr>
            <w:tcW w:w="7716" w:type="dxa"/>
            <w:vMerge w:val="continue"/>
            <w:tcBorders>
              <w:top w:val="single" w:color="auto" w:sz="4" w:space="0"/>
              <w:left w:val="single" w:color="auto" w:sz="4" w:space="0"/>
              <w:bottom w:val="single" w:color="000000" w:sz="4" w:space="0"/>
              <w:right w:val="nil"/>
            </w:tcBorders>
            <w:noWrap w:val="0"/>
            <w:vAlign w:val="center"/>
          </w:tcPr>
          <w:p>
            <w:pPr>
              <w:widowControl/>
              <w:rPr>
                <w:rFonts w:hAnsi="宋体" w:cs="宋体"/>
                <w:color w:val="auto"/>
                <w:sz w:val="18"/>
                <w:szCs w:val="18"/>
              </w:rPr>
            </w:pPr>
          </w:p>
        </w:tc>
        <w:tc>
          <w:tcPr>
            <w:tcW w:w="705" w:type="dxa"/>
            <w:vMerge w:val="continue"/>
            <w:tcBorders>
              <w:top w:val="nil"/>
              <w:left w:val="single" w:color="auto" w:sz="4" w:space="0"/>
              <w:bottom w:val="single" w:color="000000" w:sz="4" w:space="0"/>
              <w:right w:val="single" w:color="auto" w:sz="4" w:space="0"/>
            </w:tcBorders>
            <w:noWrap w:val="0"/>
            <w:vAlign w:val="center"/>
          </w:tcPr>
          <w:p>
            <w:pPr>
              <w:widowControl/>
              <w:rPr>
                <w:rFonts w:hAnsi="宋体" w:cs="宋体"/>
                <w:color w:val="auto"/>
                <w:sz w:val="18"/>
                <w:szCs w:val="18"/>
              </w:rPr>
            </w:pPr>
          </w:p>
        </w:tc>
      </w:tr>
      <w:tr>
        <w:tblPrEx>
          <w:tblCellMar>
            <w:top w:w="0" w:type="dxa"/>
            <w:left w:w="108" w:type="dxa"/>
            <w:bottom w:w="0" w:type="dxa"/>
            <w:right w:w="108" w:type="dxa"/>
          </w:tblCellMar>
        </w:tblPrEx>
        <w:trPr>
          <w:trHeight w:val="1440" w:hRule="atLeast"/>
        </w:trPr>
        <w:tc>
          <w:tcPr>
            <w:tcW w:w="833" w:type="dxa"/>
            <w:vMerge w:val="continue"/>
            <w:tcBorders>
              <w:top w:val="single" w:color="auto" w:sz="4" w:space="0"/>
              <w:left w:val="single" w:color="auto" w:sz="4" w:space="0"/>
              <w:bottom w:val="single" w:color="000000" w:sz="4" w:space="0"/>
              <w:right w:val="single" w:color="000000" w:sz="4" w:space="0"/>
            </w:tcBorders>
            <w:shd w:val="clear" w:color="auto" w:fill="auto"/>
            <w:noWrap w:val="0"/>
            <w:vAlign w:val="center"/>
          </w:tcPr>
          <w:p>
            <w:pPr>
              <w:widowControl/>
              <w:rPr>
                <w:rFonts w:hAnsi="宋体" w:cs="宋体"/>
                <w:color w:val="auto"/>
                <w:sz w:val="18"/>
                <w:szCs w:val="18"/>
              </w:rPr>
            </w:pPr>
          </w:p>
        </w:tc>
        <w:tc>
          <w:tcPr>
            <w:tcW w:w="615" w:type="dxa"/>
            <w:tcBorders>
              <w:top w:val="nil"/>
              <w:left w:val="nil"/>
              <w:bottom w:val="single" w:color="auto" w:sz="4" w:space="0"/>
              <w:right w:val="single" w:color="auto" w:sz="4" w:space="0"/>
            </w:tcBorders>
            <w:shd w:val="clear" w:color="000000" w:fill="FFFFFF"/>
            <w:noWrap w:val="0"/>
            <w:vAlign w:val="center"/>
          </w:tcPr>
          <w:p>
            <w:pPr>
              <w:widowControl/>
              <w:jc w:val="center"/>
              <w:rPr>
                <w:rFonts w:hint="eastAsia" w:hAnsi="宋体" w:eastAsia="宋体" w:cs="宋体"/>
                <w:color w:val="auto"/>
                <w:sz w:val="18"/>
                <w:szCs w:val="18"/>
                <w:lang w:eastAsia="zh-CN"/>
              </w:rPr>
            </w:pPr>
            <w:r>
              <w:rPr>
                <w:rFonts w:hint="eastAsia" w:hAnsi="宋体" w:cs="宋体"/>
                <w:color w:val="auto"/>
                <w:sz w:val="18"/>
                <w:szCs w:val="18"/>
              </w:rPr>
              <w:t>工艺</w:t>
            </w:r>
          </w:p>
          <w:p>
            <w:pPr>
              <w:widowControl/>
              <w:jc w:val="center"/>
              <w:rPr>
                <w:rFonts w:hAnsi="宋体" w:cs="宋体"/>
                <w:color w:val="auto"/>
                <w:sz w:val="18"/>
                <w:szCs w:val="18"/>
              </w:rPr>
            </w:pPr>
            <w:r>
              <w:rPr>
                <w:rFonts w:hint="eastAsia" w:hAnsi="宋体" w:cs="宋体"/>
                <w:color w:val="auto"/>
                <w:sz w:val="18"/>
                <w:szCs w:val="18"/>
              </w:rPr>
              <w:t>要求</w:t>
            </w:r>
          </w:p>
        </w:tc>
        <w:tc>
          <w:tcPr>
            <w:tcW w:w="7716" w:type="dxa"/>
            <w:tcBorders>
              <w:top w:val="single" w:color="auto" w:sz="4" w:space="0"/>
              <w:left w:val="nil"/>
              <w:bottom w:val="single" w:color="auto" w:sz="4" w:space="0"/>
              <w:right w:val="nil"/>
            </w:tcBorders>
            <w:shd w:val="clear" w:color="000000" w:fill="FFFFFF"/>
            <w:noWrap w:val="0"/>
            <w:vAlign w:val="center"/>
          </w:tcPr>
          <w:p>
            <w:pPr>
              <w:widowControl/>
              <w:rPr>
                <w:rFonts w:hint="eastAsia" w:hAnsi="宋体" w:eastAsia="宋体" w:cs="宋体"/>
                <w:color w:val="auto"/>
                <w:sz w:val="18"/>
                <w:szCs w:val="18"/>
                <w:lang w:eastAsia="zh-CN"/>
              </w:rPr>
            </w:pPr>
            <w:r>
              <w:rPr>
                <w:rFonts w:hint="eastAsia" w:hAnsi="宋体" w:cs="宋体"/>
                <w:color w:val="auto"/>
                <w:sz w:val="18"/>
                <w:szCs w:val="18"/>
              </w:rPr>
              <w:t xml:space="preserve">门槛石（砖）与地板有明显高差；                                   </w:t>
            </w:r>
          </w:p>
          <w:p>
            <w:pPr>
              <w:widowControl/>
              <w:rPr>
                <w:rFonts w:hint="eastAsia" w:hAnsi="宋体" w:cs="宋体"/>
                <w:color w:val="auto"/>
                <w:sz w:val="18"/>
                <w:szCs w:val="18"/>
              </w:rPr>
            </w:pPr>
            <w:r>
              <w:rPr>
                <w:rFonts w:hint="eastAsia" w:hAnsi="宋体" w:cs="宋体"/>
                <w:color w:val="auto"/>
                <w:sz w:val="18"/>
                <w:szCs w:val="18"/>
              </w:rPr>
              <w:t>地板与墙边四周未按要求留伸缩缝（10-15mm）或地板切口不整齐、不平直；</w:t>
            </w:r>
          </w:p>
          <w:p>
            <w:pPr>
              <w:widowControl/>
              <w:rPr>
                <w:rFonts w:hint="eastAsia" w:hAnsi="宋体" w:eastAsia="宋体" w:cs="宋体"/>
                <w:color w:val="auto"/>
                <w:sz w:val="18"/>
                <w:szCs w:val="18"/>
                <w:lang w:eastAsia="zh-CN"/>
              </w:rPr>
            </w:pPr>
            <w:r>
              <w:rPr>
                <w:rFonts w:hint="eastAsia" w:hAnsi="宋体" w:cs="宋体"/>
                <w:color w:val="auto"/>
                <w:sz w:val="18"/>
                <w:szCs w:val="18"/>
              </w:rPr>
              <w:t xml:space="preserve">踢脚线拼缝未按要求留设,阴阳角拼接方式错误；                        </w:t>
            </w:r>
          </w:p>
          <w:p>
            <w:pPr>
              <w:widowControl/>
              <w:rPr>
                <w:rFonts w:hAnsi="宋体" w:cs="宋体"/>
                <w:color w:val="auto"/>
                <w:sz w:val="18"/>
                <w:szCs w:val="18"/>
              </w:rPr>
            </w:pPr>
            <w:r>
              <w:rPr>
                <w:rFonts w:hint="eastAsia" w:hAnsi="宋体" w:cs="宋体"/>
                <w:color w:val="auto"/>
                <w:sz w:val="18"/>
                <w:szCs w:val="18"/>
              </w:rPr>
              <w:t xml:space="preserve">防潮垫未按要求设置（拼接严密不重叠、用封口胶封闭、四周墙角上翻50mm）。                                       </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500</w:t>
            </w:r>
          </w:p>
        </w:tc>
      </w:tr>
      <w:tr>
        <w:tblPrEx>
          <w:tblCellMar>
            <w:top w:w="0" w:type="dxa"/>
            <w:left w:w="108" w:type="dxa"/>
            <w:bottom w:w="0" w:type="dxa"/>
            <w:right w:w="108" w:type="dxa"/>
          </w:tblCellMar>
        </w:tblPrEx>
        <w:trPr>
          <w:trHeight w:val="2580" w:hRule="atLeast"/>
        </w:trPr>
        <w:tc>
          <w:tcPr>
            <w:tcW w:w="833" w:type="dxa"/>
            <w:vMerge w:val="continue"/>
            <w:tcBorders>
              <w:top w:val="single" w:color="auto" w:sz="4" w:space="0"/>
              <w:left w:val="single" w:color="auto" w:sz="4" w:space="0"/>
              <w:bottom w:val="single" w:color="000000" w:sz="4" w:space="0"/>
              <w:right w:val="single" w:color="000000" w:sz="4" w:space="0"/>
            </w:tcBorders>
            <w:shd w:val="clear" w:color="auto" w:fill="auto"/>
            <w:noWrap w:val="0"/>
            <w:vAlign w:val="center"/>
          </w:tcPr>
          <w:p>
            <w:pPr>
              <w:widowControl/>
              <w:rPr>
                <w:rFonts w:hAnsi="宋体" w:cs="宋体"/>
                <w:color w:val="auto"/>
                <w:sz w:val="18"/>
                <w:szCs w:val="18"/>
              </w:rPr>
            </w:pPr>
          </w:p>
        </w:tc>
        <w:tc>
          <w:tcPr>
            <w:tcW w:w="615" w:type="dxa"/>
            <w:tcBorders>
              <w:top w:val="nil"/>
              <w:left w:val="nil"/>
              <w:bottom w:val="single" w:color="auto" w:sz="4" w:space="0"/>
              <w:right w:val="single" w:color="auto" w:sz="4" w:space="0"/>
            </w:tcBorders>
            <w:shd w:val="clear" w:color="000000" w:fill="FFFFFF"/>
            <w:noWrap w:val="0"/>
            <w:vAlign w:val="center"/>
          </w:tcPr>
          <w:p>
            <w:pPr>
              <w:widowControl/>
              <w:jc w:val="center"/>
              <w:rPr>
                <w:rFonts w:hint="eastAsia" w:hAnsi="宋体" w:eastAsia="宋体" w:cs="宋体"/>
                <w:color w:val="auto"/>
                <w:sz w:val="18"/>
                <w:szCs w:val="18"/>
                <w:lang w:eastAsia="zh-CN"/>
              </w:rPr>
            </w:pPr>
            <w:r>
              <w:rPr>
                <w:rFonts w:hint="eastAsia" w:hAnsi="宋体" w:cs="宋体"/>
                <w:color w:val="auto"/>
                <w:sz w:val="18"/>
                <w:szCs w:val="18"/>
              </w:rPr>
              <w:t>观感</w:t>
            </w:r>
          </w:p>
          <w:p>
            <w:pPr>
              <w:widowControl/>
              <w:jc w:val="center"/>
              <w:rPr>
                <w:rFonts w:hAnsi="宋体" w:cs="宋体"/>
                <w:color w:val="auto"/>
                <w:sz w:val="18"/>
                <w:szCs w:val="18"/>
              </w:rPr>
            </w:pPr>
            <w:r>
              <w:rPr>
                <w:rFonts w:hint="eastAsia" w:hAnsi="宋体" w:cs="宋体"/>
                <w:color w:val="auto"/>
                <w:sz w:val="18"/>
                <w:szCs w:val="18"/>
              </w:rPr>
              <w:t>质量</w:t>
            </w:r>
          </w:p>
        </w:tc>
        <w:tc>
          <w:tcPr>
            <w:tcW w:w="7716" w:type="dxa"/>
            <w:tcBorders>
              <w:top w:val="single" w:color="auto" w:sz="4" w:space="0"/>
              <w:left w:val="nil"/>
              <w:bottom w:val="single" w:color="auto" w:sz="4" w:space="0"/>
              <w:right w:val="nil"/>
            </w:tcBorders>
            <w:shd w:val="clear" w:color="000000" w:fill="FFFFFF"/>
            <w:noWrap w:val="0"/>
            <w:vAlign w:val="center"/>
          </w:tcPr>
          <w:p>
            <w:pPr>
              <w:widowControl/>
              <w:rPr>
                <w:rFonts w:hint="eastAsia" w:hAnsi="宋体" w:eastAsia="宋体" w:cs="宋体"/>
                <w:color w:val="auto"/>
                <w:sz w:val="18"/>
                <w:szCs w:val="18"/>
                <w:lang w:eastAsia="zh-CN"/>
              </w:rPr>
            </w:pPr>
            <w:r>
              <w:rPr>
                <w:rFonts w:hint="eastAsia" w:hAnsi="宋体" w:cs="宋体"/>
                <w:color w:val="auto"/>
                <w:sz w:val="18"/>
                <w:szCs w:val="18"/>
              </w:rPr>
              <w:t>地板不平直，有翘曲；</w:t>
            </w:r>
          </w:p>
          <w:p>
            <w:pPr>
              <w:widowControl/>
              <w:rPr>
                <w:rFonts w:hint="eastAsia" w:hAnsi="宋体" w:eastAsia="宋体" w:cs="宋体"/>
                <w:color w:val="auto"/>
                <w:sz w:val="18"/>
                <w:szCs w:val="18"/>
                <w:lang w:eastAsia="zh-CN"/>
              </w:rPr>
            </w:pPr>
            <w:r>
              <w:rPr>
                <w:rFonts w:hint="eastAsia" w:hAnsi="宋体" w:cs="宋体"/>
                <w:color w:val="auto"/>
                <w:sz w:val="18"/>
                <w:szCs w:val="18"/>
              </w:rPr>
              <w:t xml:space="preserve">接缝不平直、缝隙不严密分；                                                                                                             </w:t>
            </w:r>
          </w:p>
          <w:p>
            <w:pPr>
              <w:widowControl/>
              <w:rPr>
                <w:rFonts w:hint="eastAsia" w:hAnsi="宋体" w:eastAsia="宋体" w:cs="宋体"/>
                <w:color w:val="auto"/>
                <w:sz w:val="18"/>
                <w:szCs w:val="18"/>
                <w:lang w:eastAsia="zh-CN"/>
              </w:rPr>
            </w:pPr>
            <w:r>
              <w:rPr>
                <w:rFonts w:hint="eastAsia" w:hAnsi="宋体" w:cs="宋体"/>
                <w:color w:val="auto"/>
                <w:sz w:val="18"/>
                <w:szCs w:val="18"/>
              </w:rPr>
              <w:t xml:space="preserve">复合地板图案和颜色不符合设计要求；  </w:t>
            </w:r>
          </w:p>
          <w:p>
            <w:pPr>
              <w:widowControl/>
              <w:rPr>
                <w:rFonts w:hint="eastAsia" w:hAnsi="宋体" w:cs="宋体"/>
                <w:color w:val="auto"/>
                <w:sz w:val="18"/>
                <w:szCs w:val="18"/>
              </w:rPr>
            </w:pPr>
            <w:r>
              <w:rPr>
                <w:rFonts w:hint="eastAsia" w:hAnsi="宋体" w:cs="宋体"/>
                <w:color w:val="auto"/>
                <w:sz w:val="18"/>
                <w:szCs w:val="18"/>
              </w:rPr>
              <w:t>地板与踢脚线有明显色差，漆膜有划痕、鼓泡、针孔、皱皮等缺陷；</w:t>
            </w:r>
          </w:p>
          <w:p>
            <w:pPr>
              <w:widowControl/>
              <w:rPr>
                <w:rFonts w:hint="eastAsia" w:hAnsi="宋体" w:eastAsia="宋体" w:cs="宋体"/>
                <w:color w:val="auto"/>
                <w:sz w:val="18"/>
                <w:szCs w:val="18"/>
                <w:lang w:eastAsia="zh-CN"/>
              </w:rPr>
            </w:pPr>
            <w:r>
              <w:rPr>
                <w:rFonts w:hint="eastAsia" w:hAnsi="宋体" w:cs="宋体"/>
                <w:color w:val="auto"/>
                <w:sz w:val="18"/>
                <w:szCs w:val="18"/>
              </w:rPr>
              <w:t xml:space="preserve">地板收口压条不平直、粘贴不牢固；                                            </w:t>
            </w:r>
          </w:p>
          <w:p>
            <w:pPr>
              <w:widowControl/>
              <w:rPr>
                <w:rFonts w:hint="eastAsia" w:hAnsi="宋体" w:eastAsia="宋体" w:cs="宋体"/>
                <w:color w:val="auto"/>
                <w:sz w:val="18"/>
                <w:szCs w:val="18"/>
                <w:lang w:eastAsia="zh-CN"/>
              </w:rPr>
            </w:pPr>
            <w:r>
              <w:rPr>
                <w:rFonts w:hint="eastAsia" w:hAnsi="宋体" w:cs="宋体"/>
                <w:color w:val="auto"/>
                <w:sz w:val="18"/>
                <w:szCs w:val="18"/>
              </w:rPr>
              <w:t xml:space="preserve">踢脚线不顺直；                                                                                             </w:t>
            </w:r>
          </w:p>
          <w:p>
            <w:pPr>
              <w:widowControl/>
              <w:rPr>
                <w:rFonts w:hint="eastAsia" w:hAnsi="宋体" w:eastAsia="宋体" w:cs="宋体"/>
                <w:color w:val="auto"/>
                <w:sz w:val="18"/>
                <w:szCs w:val="18"/>
                <w:lang w:eastAsia="zh-CN"/>
              </w:rPr>
            </w:pPr>
            <w:r>
              <w:rPr>
                <w:rFonts w:hint="eastAsia" w:hAnsi="宋体" w:cs="宋体"/>
                <w:color w:val="auto"/>
                <w:sz w:val="18"/>
                <w:szCs w:val="18"/>
              </w:rPr>
              <w:t xml:space="preserve">踢脚线与地板表面的间隙过大；                                                </w:t>
            </w:r>
          </w:p>
          <w:p>
            <w:pPr>
              <w:widowControl/>
              <w:rPr>
                <w:rFonts w:hAnsi="宋体" w:cs="宋体"/>
                <w:color w:val="auto"/>
                <w:sz w:val="18"/>
                <w:szCs w:val="18"/>
              </w:rPr>
            </w:pPr>
            <w:r>
              <w:rPr>
                <w:rFonts w:hint="eastAsia" w:hAnsi="宋体" w:cs="宋体"/>
                <w:color w:val="auto"/>
                <w:sz w:val="18"/>
                <w:szCs w:val="18"/>
              </w:rPr>
              <w:t xml:space="preserve">踢脚线松动脱落。                                                                                               </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500</w:t>
            </w:r>
          </w:p>
        </w:tc>
      </w:tr>
      <w:tr>
        <w:tblPrEx>
          <w:tblCellMar>
            <w:top w:w="0" w:type="dxa"/>
            <w:left w:w="108" w:type="dxa"/>
            <w:bottom w:w="0" w:type="dxa"/>
            <w:right w:w="108" w:type="dxa"/>
          </w:tblCellMar>
        </w:tblPrEx>
        <w:trPr>
          <w:trHeight w:val="570" w:hRule="atLeast"/>
        </w:trPr>
        <w:tc>
          <w:tcPr>
            <w:tcW w:w="833" w:type="dxa"/>
            <w:vMerge w:val="restar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十、门窗工程</w:t>
            </w:r>
          </w:p>
        </w:tc>
        <w:tc>
          <w:tcPr>
            <w:tcW w:w="615" w:type="dxa"/>
            <w:tcBorders>
              <w:top w:val="nil"/>
              <w:left w:val="nil"/>
              <w:bottom w:val="single" w:color="auto" w:sz="4" w:space="0"/>
              <w:right w:val="single" w:color="auto" w:sz="4" w:space="0"/>
            </w:tcBorders>
            <w:shd w:val="clear" w:color="000000" w:fill="FFFFFF"/>
            <w:noWrap w:val="0"/>
            <w:vAlign w:val="center"/>
          </w:tcPr>
          <w:p>
            <w:pPr>
              <w:widowControl/>
              <w:jc w:val="center"/>
              <w:rPr>
                <w:rFonts w:hint="eastAsia" w:hAnsi="宋体" w:eastAsia="宋体" w:cs="宋体"/>
                <w:color w:val="auto"/>
                <w:sz w:val="18"/>
                <w:szCs w:val="18"/>
                <w:lang w:eastAsia="zh-CN"/>
              </w:rPr>
            </w:pPr>
            <w:r>
              <w:rPr>
                <w:rFonts w:hint="eastAsia" w:hAnsi="宋体" w:cs="宋体"/>
                <w:color w:val="auto"/>
                <w:sz w:val="18"/>
                <w:szCs w:val="18"/>
              </w:rPr>
              <w:t>主控</w:t>
            </w:r>
          </w:p>
          <w:p>
            <w:pPr>
              <w:widowControl/>
              <w:jc w:val="center"/>
              <w:rPr>
                <w:rFonts w:hAnsi="宋体" w:cs="宋体"/>
                <w:color w:val="auto"/>
                <w:sz w:val="18"/>
                <w:szCs w:val="18"/>
              </w:rPr>
            </w:pPr>
            <w:r>
              <w:rPr>
                <w:rFonts w:hint="eastAsia" w:hAnsi="宋体" w:cs="宋体"/>
                <w:color w:val="auto"/>
                <w:sz w:val="18"/>
                <w:szCs w:val="18"/>
              </w:rPr>
              <w:t>项目</w:t>
            </w:r>
          </w:p>
        </w:tc>
        <w:tc>
          <w:tcPr>
            <w:tcW w:w="7716" w:type="dxa"/>
            <w:tcBorders>
              <w:top w:val="single" w:color="auto" w:sz="4" w:space="0"/>
              <w:left w:val="nil"/>
              <w:bottom w:val="single" w:color="auto" w:sz="4" w:space="0"/>
              <w:right w:val="nil"/>
            </w:tcBorders>
            <w:shd w:val="clear" w:color="000000" w:fill="FFFFFF"/>
            <w:noWrap w:val="0"/>
            <w:vAlign w:val="center"/>
          </w:tcPr>
          <w:p>
            <w:pPr>
              <w:widowControl/>
              <w:rPr>
                <w:rFonts w:hAnsi="宋体" w:cs="宋体"/>
                <w:color w:val="auto"/>
                <w:sz w:val="18"/>
                <w:szCs w:val="18"/>
              </w:rPr>
            </w:pPr>
            <w:r>
              <w:rPr>
                <w:rFonts w:hint="eastAsia" w:hAnsi="宋体" w:cs="宋体"/>
                <w:color w:val="auto"/>
                <w:sz w:val="18"/>
                <w:szCs w:val="18"/>
              </w:rPr>
              <w:t>品牌、材质、规格不符合设计或合同要求。</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1000</w:t>
            </w:r>
          </w:p>
        </w:tc>
      </w:tr>
      <w:tr>
        <w:tblPrEx>
          <w:tblCellMar>
            <w:top w:w="0" w:type="dxa"/>
            <w:left w:w="108" w:type="dxa"/>
            <w:bottom w:w="0" w:type="dxa"/>
            <w:right w:w="108" w:type="dxa"/>
          </w:tblCellMar>
        </w:tblPrEx>
        <w:trPr>
          <w:trHeight w:val="4422" w:hRule="atLeast"/>
        </w:trPr>
        <w:tc>
          <w:tcPr>
            <w:tcW w:w="833"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rPr>
                <w:rFonts w:hAnsi="宋体" w:cs="宋体"/>
                <w:color w:val="auto"/>
                <w:sz w:val="18"/>
                <w:szCs w:val="18"/>
              </w:rPr>
            </w:pPr>
          </w:p>
        </w:tc>
        <w:tc>
          <w:tcPr>
            <w:tcW w:w="615" w:type="dxa"/>
            <w:tcBorders>
              <w:top w:val="nil"/>
              <w:left w:val="nil"/>
              <w:bottom w:val="single" w:color="auto" w:sz="4" w:space="0"/>
              <w:right w:val="single" w:color="auto" w:sz="4" w:space="0"/>
            </w:tcBorders>
            <w:shd w:val="clear" w:color="000000" w:fill="FFFFFF"/>
            <w:noWrap w:val="0"/>
            <w:vAlign w:val="center"/>
          </w:tcPr>
          <w:p>
            <w:pPr>
              <w:widowControl/>
              <w:jc w:val="center"/>
              <w:rPr>
                <w:rFonts w:hint="eastAsia" w:hAnsi="宋体" w:eastAsia="宋体" w:cs="宋体"/>
                <w:color w:val="auto"/>
                <w:sz w:val="18"/>
                <w:szCs w:val="18"/>
                <w:lang w:eastAsia="zh-CN"/>
              </w:rPr>
            </w:pPr>
            <w:r>
              <w:rPr>
                <w:rFonts w:hint="eastAsia" w:hAnsi="宋体" w:cs="宋体"/>
                <w:color w:val="auto"/>
                <w:sz w:val="18"/>
                <w:szCs w:val="18"/>
              </w:rPr>
              <w:t>工艺</w:t>
            </w:r>
          </w:p>
          <w:p>
            <w:pPr>
              <w:widowControl/>
              <w:jc w:val="center"/>
              <w:rPr>
                <w:rFonts w:hAnsi="宋体" w:cs="宋体"/>
                <w:color w:val="auto"/>
                <w:sz w:val="18"/>
                <w:szCs w:val="18"/>
              </w:rPr>
            </w:pPr>
            <w:r>
              <w:rPr>
                <w:rFonts w:hint="eastAsia" w:hAnsi="宋体" w:cs="宋体"/>
                <w:color w:val="auto"/>
                <w:sz w:val="18"/>
                <w:szCs w:val="18"/>
              </w:rPr>
              <w:t>要求</w:t>
            </w:r>
          </w:p>
        </w:tc>
        <w:tc>
          <w:tcPr>
            <w:tcW w:w="7716" w:type="dxa"/>
            <w:tcBorders>
              <w:top w:val="single" w:color="auto" w:sz="4" w:space="0"/>
              <w:left w:val="nil"/>
              <w:bottom w:val="single" w:color="auto" w:sz="4" w:space="0"/>
              <w:right w:val="nil"/>
            </w:tcBorders>
            <w:shd w:val="clear" w:color="000000" w:fill="FFFFFF"/>
            <w:noWrap w:val="0"/>
            <w:vAlign w:val="center"/>
          </w:tcPr>
          <w:p>
            <w:pPr>
              <w:widowControl/>
              <w:rPr>
                <w:rFonts w:hint="eastAsia" w:hAnsi="宋体" w:eastAsia="宋体" w:cs="宋体"/>
                <w:color w:val="auto"/>
                <w:sz w:val="18"/>
                <w:szCs w:val="18"/>
                <w:lang w:eastAsia="zh-CN"/>
              </w:rPr>
            </w:pPr>
            <w:r>
              <w:rPr>
                <w:rFonts w:hint="eastAsia" w:hAnsi="宋体" w:cs="宋体"/>
                <w:color w:val="auto"/>
                <w:sz w:val="18"/>
                <w:szCs w:val="18"/>
              </w:rPr>
              <w:t>未按要求施工造成瓷片空鼓或破损；</w:t>
            </w:r>
          </w:p>
          <w:p>
            <w:pPr>
              <w:widowControl/>
              <w:rPr>
                <w:rFonts w:hint="eastAsia" w:hAnsi="宋体" w:eastAsia="宋体" w:cs="宋体"/>
                <w:color w:val="auto"/>
                <w:sz w:val="18"/>
                <w:szCs w:val="18"/>
                <w:lang w:eastAsia="zh-CN"/>
              </w:rPr>
            </w:pPr>
            <w:r>
              <w:rPr>
                <w:rFonts w:hint="eastAsia" w:hAnsi="宋体" w:cs="宋体"/>
                <w:color w:val="auto"/>
                <w:sz w:val="18"/>
                <w:szCs w:val="18"/>
              </w:rPr>
              <w:t xml:space="preserve">门套与墙体间发泡剂施打不符合要求；  </w:t>
            </w:r>
          </w:p>
          <w:p>
            <w:pPr>
              <w:widowControl/>
              <w:rPr>
                <w:rFonts w:hint="eastAsia" w:hAnsi="宋体" w:eastAsia="宋体" w:cs="宋体"/>
                <w:color w:val="auto"/>
                <w:sz w:val="18"/>
                <w:szCs w:val="18"/>
                <w:lang w:eastAsia="zh-CN"/>
              </w:rPr>
            </w:pPr>
            <w:r>
              <w:rPr>
                <w:rFonts w:hint="eastAsia" w:hAnsi="宋体" w:cs="宋体"/>
                <w:color w:val="auto"/>
                <w:sz w:val="18"/>
                <w:szCs w:val="18"/>
              </w:rPr>
              <w:t xml:space="preserve">钢门框未按要求填充水泥砂浆；                                 </w:t>
            </w:r>
          </w:p>
          <w:p>
            <w:pPr>
              <w:widowControl/>
              <w:rPr>
                <w:rFonts w:hint="eastAsia" w:hAnsi="宋体" w:eastAsia="宋体" w:cs="宋体"/>
                <w:color w:val="auto"/>
                <w:sz w:val="18"/>
                <w:szCs w:val="18"/>
                <w:lang w:eastAsia="zh-CN"/>
              </w:rPr>
            </w:pPr>
            <w:r>
              <w:rPr>
                <w:rFonts w:hint="eastAsia" w:hAnsi="宋体" w:cs="宋体"/>
                <w:color w:val="auto"/>
                <w:sz w:val="18"/>
                <w:szCs w:val="18"/>
              </w:rPr>
              <w:t xml:space="preserve">入户门下框未先按要求填塞密实的再安装；                          </w:t>
            </w:r>
          </w:p>
          <w:p>
            <w:pPr>
              <w:widowControl/>
              <w:rPr>
                <w:rFonts w:hint="eastAsia" w:hAnsi="宋体" w:eastAsia="宋体" w:cs="宋体"/>
                <w:color w:val="auto"/>
                <w:sz w:val="18"/>
                <w:szCs w:val="18"/>
                <w:lang w:eastAsia="zh-CN"/>
              </w:rPr>
            </w:pPr>
            <w:r>
              <w:rPr>
                <w:rFonts w:hint="eastAsia" w:hAnsi="宋体" w:cs="宋体"/>
                <w:color w:val="auto"/>
                <w:sz w:val="18"/>
                <w:szCs w:val="18"/>
              </w:rPr>
              <w:t xml:space="preserve">室内门套与墙身间固定不符合要求（要求：每侧边不少于5个固定点，定边不少于1个固定点）；                                                                               厨房吊趟门未按要求进行顶部门套板固定；                           </w:t>
            </w:r>
          </w:p>
          <w:p>
            <w:pPr>
              <w:widowControl/>
              <w:rPr>
                <w:rFonts w:hint="eastAsia" w:hAnsi="宋体" w:eastAsia="宋体" w:cs="宋体"/>
                <w:color w:val="auto"/>
                <w:sz w:val="18"/>
                <w:szCs w:val="18"/>
                <w:lang w:eastAsia="zh-CN"/>
              </w:rPr>
            </w:pPr>
            <w:r>
              <w:rPr>
                <w:rFonts w:hint="eastAsia" w:hAnsi="宋体" w:cs="宋体"/>
                <w:color w:val="auto"/>
                <w:sz w:val="18"/>
                <w:szCs w:val="18"/>
              </w:rPr>
              <w:t xml:space="preserve">门套装配不严密、平整、有离缝；                                                     </w:t>
            </w:r>
          </w:p>
          <w:p>
            <w:pPr>
              <w:widowControl/>
              <w:rPr>
                <w:rFonts w:hint="eastAsia" w:hAnsi="宋体" w:cs="宋体"/>
                <w:color w:val="auto"/>
                <w:sz w:val="18"/>
                <w:szCs w:val="18"/>
              </w:rPr>
            </w:pPr>
            <w:r>
              <w:rPr>
                <w:rFonts w:hint="eastAsia" w:hAnsi="宋体" w:cs="宋体"/>
                <w:color w:val="auto"/>
                <w:sz w:val="18"/>
                <w:szCs w:val="18"/>
              </w:rPr>
              <w:t>五金件安装歪斜、有锈蚀，不齐全、不美观，五金件未嵌入门套或门扇的槽口不规范，锁孔位置不准确；</w:t>
            </w:r>
          </w:p>
          <w:p>
            <w:pPr>
              <w:widowControl/>
              <w:rPr>
                <w:rFonts w:hint="eastAsia" w:hAnsi="宋体" w:eastAsia="宋体" w:cs="宋体"/>
                <w:color w:val="auto"/>
                <w:sz w:val="18"/>
                <w:szCs w:val="18"/>
                <w:lang w:eastAsia="zh-CN"/>
              </w:rPr>
            </w:pPr>
            <w:r>
              <w:rPr>
                <w:rFonts w:hint="eastAsia" w:hAnsi="宋体" w:cs="宋体"/>
                <w:color w:val="auto"/>
                <w:sz w:val="18"/>
                <w:szCs w:val="18"/>
              </w:rPr>
              <w:t>固定螺丝安装不齐全、不平直，未隐于螺丝孔平面，或有锈迹；</w:t>
            </w:r>
          </w:p>
          <w:p>
            <w:pPr>
              <w:widowControl/>
              <w:rPr>
                <w:rFonts w:hint="eastAsia" w:hAnsi="宋体" w:eastAsia="宋体" w:cs="宋体"/>
                <w:color w:val="auto"/>
                <w:sz w:val="18"/>
                <w:szCs w:val="18"/>
                <w:lang w:eastAsia="zh-CN"/>
              </w:rPr>
            </w:pPr>
            <w:r>
              <w:rPr>
                <w:rFonts w:hint="eastAsia" w:hAnsi="宋体" w:cs="宋体"/>
                <w:color w:val="auto"/>
                <w:sz w:val="18"/>
                <w:szCs w:val="18"/>
              </w:rPr>
              <w:t xml:space="preserve">门窗框安装留缝限值、允许偏差不符合规范要求；                                       </w:t>
            </w:r>
          </w:p>
          <w:p>
            <w:pPr>
              <w:widowControl/>
              <w:rPr>
                <w:rFonts w:hint="eastAsia" w:hAnsi="宋体" w:eastAsia="宋体" w:cs="宋体"/>
                <w:color w:val="auto"/>
                <w:sz w:val="18"/>
                <w:szCs w:val="18"/>
                <w:lang w:eastAsia="zh-CN"/>
              </w:rPr>
            </w:pPr>
            <w:r>
              <w:rPr>
                <w:rFonts w:hint="eastAsia" w:hAnsi="宋体" w:cs="宋体"/>
                <w:color w:val="auto"/>
                <w:sz w:val="18"/>
                <w:szCs w:val="18"/>
              </w:rPr>
              <w:t xml:space="preserve">橡胶封条或毛毡密封条未安装完好；                                                                                                </w:t>
            </w:r>
          </w:p>
          <w:p>
            <w:pPr>
              <w:widowControl/>
              <w:rPr>
                <w:rFonts w:hAnsi="宋体" w:cs="宋体"/>
                <w:color w:val="auto"/>
                <w:sz w:val="18"/>
                <w:szCs w:val="18"/>
              </w:rPr>
            </w:pPr>
            <w:r>
              <w:rPr>
                <w:rFonts w:hint="eastAsia" w:hAnsi="宋体" w:cs="宋体"/>
                <w:color w:val="auto"/>
                <w:sz w:val="18"/>
                <w:szCs w:val="18"/>
              </w:rPr>
              <w:t xml:space="preserve">玻璃镀膜层及磨砂面未朝向室内。                                                                                                            </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500</w:t>
            </w:r>
          </w:p>
        </w:tc>
      </w:tr>
      <w:tr>
        <w:tblPrEx>
          <w:tblCellMar>
            <w:top w:w="0" w:type="dxa"/>
            <w:left w:w="108" w:type="dxa"/>
            <w:bottom w:w="0" w:type="dxa"/>
            <w:right w:w="108" w:type="dxa"/>
          </w:tblCellMar>
        </w:tblPrEx>
        <w:trPr>
          <w:trHeight w:val="4680" w:hRule="atLeast"/>
        </w:trPr>
        <w:tc>
          <w:tcPr>
            <w:tcW w:w="833"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rPr>
                <w:rFonts w:hAnsi="宋体" w:cs="宋体"/>
                <w:color w:val="auto"/>
                <w:sz w:val="18"/>
                <w:szCs w:val="18"/>
              </w:rPr>
            </w:pPr>
          </w:p>
        </w:tc>
        <w:tc>
          <w:tcPr>
            <w:tcW w:w="615" w:type="dxa"/>
            <w:tcBorders>
              <w:top w:val="nil"/>
              <w:left w:val="nil"/>
              <w:bottom w:val="single" w:color="auto" w:sz="4" w:space="0"/>
              <w:right w:val="single" w:color="auto" w:sz="4" w:space="0"/>
            </w:tcBorders>
            <w:shd w:val="clear" w:color="000000" w:fill="FFFFFF"/>
            <w:noWrap w:val="0"/>
            <w:vAlign w:val="center"/>
          </w:tcPr>
          <w:p>
            <w:pPr>
              <w:widowControl/>
              <w:jc w:val="center"/>
              <w:rPr>
                <w:rFonts w:hint="eastAsia" w:hAnsi="宋体" w:eastAsia="宋体" w:cs="宋体"/>
                <w:color w:val="auto"/>
                <w:sz w:val="18"/>
                <w:szCs w:val="18"/>
                <w:lang w:eastAsia="zh-CN"/>
              </w:rPr>
            </w:pPr>
            <w:r>
              <w:rPr>
                <w:rFonts w:hint="eastAsia" w:hAnsi="宋体" w:cs="宋体"/>
                <w:color w:val="auto"/>
                <w:sz w:val="18"/>
                <w:szCs w:val="18"/>
              </w:rPr>
              <w:t>观感</w:t>
            </w:r>
          </w:p>
          <w:p>
            <w:pPr>
              <w:widowControl/>
              <w:jc w:val="center"/>
              <w:rPr>
                <w:rFonts w:hAnsi="宋体" w:cs="宋体"/>
                <w:color w:val="auto"/>
                <w:sz w:val="18"/>
                <w:szCs w:val="18"/>
              </w:rPr>
            </w:pPr>
            <w:r>
              <w:rPr>
                <w:rFonts w:hint="eastAsia" w:hAnsi="宋体" w:cs="宋体"/>
                <w:color w:val="auto"/>
                <w:sz w:val="18"/>
                <w:szCs w:val="18"/>
              </w:rPr>
              <w:t>质量</w:t>
            </w:r>
          </w:p>
        </w:tc>
        <w:tc>
          <w:tcPr>
            <w:tcW w:w="7716" w:type="dxa"/>
            <w:tcBorders>
              <w:top w:val="single" w:color="auto" w:sz="4" w:space="0"/>
              <w:left w:val="nil"/>
              <w:bottom w:val="single" w:color="auto" w:sz="4" w:space="0"/>
              <w:right w:val="nil"/>
            </w:tcBorders>
            <w:shd w:val="clear" w:color="000000" w:fill="FFFFFF"/>
            <w:noWrap w:val="0"/>
            <w:vAlign w:val="center"/>
          </w:tcPr>
          <w:p>
            <w:pPr>
              <w:widowControl/>
              <w:rPr>
                <w:rFonts w:hint="eastAsia" w:hAnsi="宋体" w:eastAsia="宋体" w:cs="宋体"/>
                <w:color w:val="auto"/>
                <w:sz w:val="18"/>
                <w:szCs w:val="18"/>
                <w:lang w:eastAsia="zh-CN"/>
              </w:rPr>
            </w:pPr>
            <w:r>
              <w:rPr>
                <w:rFonts w:hint="eastAsia" w:hAnsi="宋体" w:cs="宋体"/>
                <w:color w:val="auto"/>
                <w:sz w:val="18"/>
                <w:szCs w:val="18"/>
              </w:rPr>
              <w:t>门套线与墙体之间的安装空隙过大，收口不到位；</w:t>
            </w:r>
          </w:p>
          <w:p>
            <w:pPr>
              <w:widowControl/>
              <w:rPr>
                <w:rFonts w:hint="eastAsia" w:hAnsi="宋体" w:eastAsia="宋体" w:cs="宋体"/>
                <w:color w:val="auto"/>
                <w:sz w:val="18"/>
                <w:szCs w:val="18"/>
                <w:lang w:eastAsia="zh-CN"/>
              </w:rPr>
            </w:pPr>
            <w:r>
              <w:rPr>
                <w:rFonts w:hint="eastAsia" w:hAnsi="宋体" w:cs="宋体"/>
                <w:color w:val="auto"/>
                <w:sz w:val="18"/>
                <w:szCs w:val="18"/>
              </w:rPr>
              <w:t xml:space="preserve">门套及门扇安装不方正；                                                         </w:t>
            </w:r>
          </w:p>
          <w:p>
            <w:pPr>
              <w:widowControl/>
              <w:rPr>
                <w:rFonts w:hint="eastAsia" w:hAnsi="宋体" w:eastAsia="宋体" w:cs="宋体"/>
                <w:color w:val="auto"/>
                <w:sz w:val="18"/>
                <w:szCs w:val="18"/>
                <w:lang w:eastAsia="zh-CN"/>
              </w:rPr>
            </w:pPr>
            <w:r>
              <w:rPr>
                <w:rFonts w:hint="eastAsia" w:hAnsi="宋体" w:cs="宋体"/>
                <w:color w:val="auto"/>
                <w:sz w:val="18"/>
                <w:szCs w:val="18"/>
              </w:rPr>
              <w:t xml:space="preserve">门套、门线与地面结合缝隙过大（要求＜3mm），且未用防水密封胶封合缝隙；                                                                                           门窗框边打胶效果不平直、不顺滑；                                                     </w:t>
            </w:r>
          </w:p>
          <w:p>
            <w:pPr>
              <w:widowControl/>
              <w:rPr>
                <w:rFonts w:hint="eastAsia" w:hAnsi="宋体" w:eastAsia="宋体" w:cs="宋体"/>
                <w:color w:val="auto"/>
                <w:sz w:val="18"/>
                <w:szCs w:val="18"/>
                <w:lang w:eastAsia="zh-CN"/>
              </w:rPr>
            </w:pPr>
            <w:r>
              <w:rPr>
                <w:rFonts w:hint="eastAsia" w:hAnsi="宋体" w:cs="宋体"/>
                <w:color w:val="auto"/>
                <w:sz w:val="18"/>
                <w:szCs w:val="18"/>
              </w:rPr>
              <w:t xml:space="preserve">色泽不一致、有明显色差、木纹不清晰；                                 </w:t>
            </w:r>
          </w:p>
          <w:p>
            <w:pPr>
              <w:widowControl/>
              <w:rPr>
                <w:rFonts w:hint="eastAsia" w:hAnsi="宋体" w:cs="宋体"/>
                <w:color w:val="auto"/>
                <w:sz w:val="18"/>
                <w:szCs w:val="18"/>
              </w:rPr>
            </w:pPr>
            <w:r>
              <w:rPr>
                <w:rFonts w:hint="eastAsia" w:hAnsi="宋体" w:cs="宋体"/>
                <w:color w:val="auto"/>
                <w:sz w:val="18"/>
                <w:szCs w:val="18"/>
              </w:rPr>
              <w:t>油漆见光面有缩孔、涨边、皱皮，积漆、漏漆、磨伤；</w:t>
            </w:r>
          </w:p>
          <w:p>
            <w:pPr>
              <w:widowControl/>
              <w:rPr>
                <w:rFonts w:hint="eastAsia" w:hAnsi="宋体" w:eastAsia="宋体" w:cs="宋体"/>
                <w:color w:val="auto"/>
                <w:sz w:val="18"/>
                <w:szCs w:val="18"/>
                <w:lang w:eastAsia="zh-CN"/>
              </w:rPr>
            </w:pPr>
            <w:r>
              <w:rPr>
                <w:rFonts w:hint="eastAsia" w:hAnsi="宋体" w:cs="宋体"/>
                <w:color w:val="auto"/>
                <w:sz w:val="18"/>
                <w:szCs w:val="18"/>
              </w:rPr>
              <w:t xml:space="preserve">门套线线形不均匀，表面有钉眼，有波曲；                               </w:t>
            </w:r>
          </w:p>
          <w:p>
            <w:pPr>
              <w:widowControl/>
              <w:rPr>
                <w:rFonts w:hint="eastAsia" w:hAnsi="宋体" w:eastAsia="宋体" w:cs="宋体"/>
                <w:color w:val="auto"/>
                <w:sz w:val="18"/>
                <w:szCs w:val="18"/>
                <w:lang w:eastAsia="zh-CN"/>
              </w:rPr>
            </w:pPr>
            <w:r>
              <w:rPr>
                <w:rFonts w:hint="eastAsia" w:hAnsi="宋体" w:cs="宋体"/>
                <w:color w:val="auto"/>
                <w:sz w:val="18"/>
                <w:szCs w:val="18"/>
              </w:rPr>
              <w:t xml:space="preserve">门窗的割角、拼缝不严密、门框塞缝不严；                                        </w:t>
            </w:r>
          </w:p>
          <w:p>
            <w:pPr>
              <w:widowControl/>
              <w:rPr>
                <w:rFonts w:hint="eastAsia" w:hAnsi="宋体" w:eastAsia="宋体" w:cs="宋体"/>
                <w:color w:val="auto"/>
                <w:sz w:val="18"/>
                <w:szCs w:val="18"/>
                <w:lang w:eastAsia="zh-CN"/>
              </w:rPr>
            </w:pPr>
            <w:r>
              <w:rPr>
                <w:rFonts w:hint="eastAsia" w:hAnsi="宋体" w:cs="宋体"/>
                <w:color w:val="auto"/>
                <w:sz w:val="18"/>
                <w:szCs w:val="18"/>
              </w:rPr>
              <w:t xml:space="preserve">门橡胶封条或毛毡密封条未安装完好；                                          </w:t>
            </w:r>
          </w:p>
          <w:p>
            <w:pPr>
              <w:widowControl/>
              <w:rPr>
                <w:rFonts w:hint="eastAsia" w:hAnsi="宋体" w:eastAsia="宋体" w:cs="宋体"/>
                <w:color w:val="auto"/>
                <w:sz w:val="18"/>
                <w:szCs w:val="18"/>
                <w:lang w:eastAsia="zh-CN"/>
              </w:rPr>
            </w:pPr>
            <w:r>
              <w:rPr>
                <w:rFonts w:hint="eastAsia" w:hAnsi="宋体" w:cs="宋体"/>
                <w:color w:val="auto"/>
                <w:sz w:val="18"/>
                <w:szCs w:val="18"/>
              </w:rPr>
              <w:t xml:space="preserve">门吸安装位置不准确、不牢固、生锈；                                    </w:t>
            </w:r>
          </w:p>
          <w:p>
            <w:pPr>
              <w:widowControl/>
              <w:rPr>
                <w:rFonts w:hint="eastAsia" w:hAnsi="宋体" w:eastAsia="宋体" w:cs="宋体"/>
                <w:color w:val="auto"/>
                <w:sz w:val="18"/>
                <w:szCs w:val="18"/>
                <w:lang w:eastAsia="zh-CN"/>
              </w:rPr>
            </w:pPr>
            <w:r>
              <w:rPr>
                <w:rFonts w:hint="eastAsia" w:hAnsi="宋体" w:cs="宋体"/>
                <w:color w:val="auto"/>
                <w:sz w:val="18"/>
                <w:szCs w:val="18"/>
              </w:rPr>
              <w:t xml:space="preserve">门窗扇安装不牢固，开关不灵活、关闭不严密，有倒翘；                                  </w:t>
            </w:r>
          </w:p>
          <w:p>
            <w:pPr>
              <w:widowControl/>
              <w:rPr>
                <w:rFonts w:hint="eastAsia" w:hAnsi="宋体" w:eastAsia="宋体" w:cs="宋体"/>
                <w:color w:val="auto"/>
                <w:sz w:val="18"/>
                <w:szCs w:val="18"/>
                <w:lang w:eastAsia="zh-CN"/>
              </w:rPr>
            </w:pPr>
            <w:r>
              <w:rPr>
                <w:rFonts w:hint="eastAsia" w:hAnsi="宋体" w:cs="宋体"/>
                <w:color w:val="auto"/>
                <w:sz w:val="18"/>
                <w:szCs w:val="18"/>
              </w:rPr>
              <w:t>门锁安装不牢固、锁体面板不垂直、未紧贴门扇；</w:t>
            </w:r>
          </w:p>
          <w:p>
            <w:pPr>
              <w:widowControl/>
              <w:rPr>
                <w:rFonts w:hAnsi="宋体" w:cs="宋体"/>
                <w:color w:val="auto"/>
                <w:sz w:val="18"/>
                <w:szCs w:val="18"/>
              </w:rPr>
            </w:pPr>
            <w:r>
              <w:rPr>
                <w:rFonts w:hint="eastAsia" w:hAnsi="宋体" w:cs="宋体"/>
                <w:color w:val="auto"/>
                <w:sz w:val="18"/>
                <w:szCs w:val="18"/>
              </w:rPr>
              <w:t xml:space="preserve">门框正侧面垂直度（2mm）、门扇与上、侧框间留缝（1.5mm-4mm）、门扇与地面间留缝（6mm-8mm）超出规范要求。 </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500</w:t>
            </w:r>
          </w:p>
        </w:tc>
      </w:tr>
      <w:tr>
        <w:tblPrEx>
          <w:tblCellMar>
            <w:top w:w="0" w:type="dxa"/>
            <w:left w:w="108" w:type="dxa"/>
            <w:bottom w:w="0" w:type="dxa"/>
            <w:right w:w="108" w:type="dxa"/>
          </w:tblCellMar>
        </w:tblPrEx>
        <w:trPr>
          <w:trHeight w:val="1662" w:hRule="atLeast"/>
        </w:trPr>
        <w:tc>
          <w:tcPr>
            <w:tcW w:w="833" w:type="dxa"/>
            <w:vMerge w:val="restar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十一、市政园林工程</w:t>
            </w:r>
          </w:p>
        </w:tc>
        <w:tc>
          <w:tcPr>
            <w:tcW w:w="615" w:type="dxa"/>
            <w:tcBorders>
              <w:top w:val="nil"/>
              <w:left w:val="nil"/>
              <w:bottom w:val="single" w:color="auto" w:sz="4" w:space="0"/>
              <w:right w:val="single" w:color="auto" w:sz="4" w:space="0"/>
            </w:tcBorders>
            <w:shd w:val="clear" w:color="000000" w:fill="FFFFFF"/>
            <w:noWrap w:val="0"/>
            <w:vAlign w:val="center"/>
          </w:tcPr>
          <w:p>
            <w:pPr>
              <w:widowControl/>
              <w:jc w:val="center"/>
              <w:rPr>
                <w:rFonts w:hint="eastAsia" w:hAnsi="宋体" w:eastAsia="宋体" w:cs="宋体"/>
                <w:color w:val="auto"/>
                <w:sz w:val="18"/>
                <w:szCs w:val="18"/>
                <w:lang w:eastAsia="zh-CN"/>
              </w:rPr>
            </w:pPr>
            <w:r>
              <w:rPr>
                <w:rFonts w:hint="eastAsia" w:hAnsi="宋体" w:cs="宋体"/>
                <w:color w:val="auto"/>
                <w:sz w:val="18"/>
                <w:szCs w:val="18"/>
              </w:rPr>
              <w:t>市政</w:t>
            </w:r>
          </w:p>
          <w:p>
            <w:pPr>
              <w:widowControl/>
              <w:jc w:val="center"/>
              <w:rPr>
                <w:rFonts w:hAnsi="宋体" w:cs="宋体"/>
                <w:color w:val="auto"/>
                <w:sz w:val="18"/>
                <w:szCs w:val="18"/>
              </w:rPr>
            </w:pPr>
            <w:r>
              <w:rPr>
                <w:rFonts w:hint="eastAsia" w:hAnsi="宋体" w:cs="宋体"/>
                <w:color w:val="auto"/>
                <w:sz w:val="18"/>
                <w:szCs w:val="18"/>
              </w:rPr>
              <w:t>管网</w:t>
            </w:r>
          </w:p>
        </w:tc>
        <w:tc>
          <w:tcPr>
            <w:tcW w:w="7716"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int="eastAsia" w:hAnsi="宋体" w:eastAsia="宋体" w:cs="宋体"/>
                <w:color w:val="auto"/>
                <w:sz w:val="18"/>
                <w:szCs w:val="18"/>
                <w:lang w:eastAsia="zh-CN"/>
              </w:rPr>
            </w:pPr>
            <w:r>
              <w:rPr>
                <w:rFonts w:hint="eastAsia" w:hAnsi="宋体" w:cs="宋体"/>
                <w:color w:val="auto"/>
                <w:sz w:val="18"/>
                <w:szCs w:val="18"/>
              </w:rPr>
              <w:t xml:space="preserve">1、电缆沟未按图施工，沟内杂物未清理、盖板不平整、有破损、电缆沟底未做混凝土垫层，未按要求进行回填等；    </w:t>
            </w:r>
          </w:p>
          <w:p>
            <w:pPr>
              <w:widowControl/>
              <w:rPr>
                <w:rFonts w:hint="eastAsia" w:hAnsi="宋体" w:eastAsia="宋体" w:cs="宋体"/>
                <w:color w:val="auto"/>
                <w:sz w:val="18"/>
                <w:szCs w:val="18"/>
                <w:lang w:eastAsia="zh-CN"/>
              </w:rPr>
            </w:pPr>
            <w:r>
              <w:rPr>
                <w:rFonts w:hint="eastAsia" w:hAnsi="宋体" w:cs="宋体"/>
                <w:color w:val="auto"/>
                <w:sz w:val="18"/>
                <w:szCs w:val="18"/>
              </w:rPr>
              <w:t xml:space="preserve">3、电缆管摆放不整齐、电箱进线口未按要求预留、高低压弱电混放在同一电缆井； </w:t>
            </w:r>
          </w:p>
          <w:p>
            <w:pPr>
              <w:widowControl/>
              <w:rPr>
                <w:rFonts w:hAnsi="宋体" w:cs="宋体"/>
                <w:color w:val="auto"/>
                <w:sz w:val="18"/>
                <w:szCs w:val="18"/>
              </w:rPr>
            </w:pPr>
            <w:r>
              <w:rPr>
                <w:rFonts w:hint="eastAsia" w:hAnsi="宋体" w:cs="宋体"/>
                <w:color w:val="auto"/>
                <w:sz w:val="18"/>
                <w:szCs w:val="18"/>
              </w:rPr>
              <w:t>2、其他各类市政管网未按图施工，管道堵塞、检查井内杂物未清理、井壁未抹灰、井盖不符合要求的。</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500</w:t>
            </w:r>
          </w:p>
        </w:tc>
      </w:tr>
      <w:tr>
        <w:tblPrEx>
          <w:tblCellMar>
            <w:top w:w="0" w:type="dxa"/>
            <w:left w:w="108" w:type="dxa"/>
            <w:bottom w:w="0" w:type="dxa"/>
            <w:right w:w="108" w:type="dxa"/>
          </w:tblCellMar>
        </w:tblPrEx>
        <w:trPr>
          <w:trHeight w:val="1182" w:hRule="atLeast"/>
        </w:trPr>
        <w:tc>
          <w:tcPr>
            <w:tcW w:w="833"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rPr>
                <w:rFonts w:hAnsi="宋体" w:cs="宋体"/>
                <w:color w:val="auto"/>
                <w:sz w:val="18"/>
                <w:szCs w:val="18"/>
              </w:rPr>
            </w:pPr>
          </w:p>
        </w:tc>
        <w:tc>
          <w:tcPr>
            <w:tcW w:w="615"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挡土墙</w:t>
            </w:r>
          </w:p>
        </w:tc>
        <w:tc>
          <w:tcPr>
            <w:tcW w:w="7716"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int="eastAsia" w:hAnsi="宋体" w:eastAsia="宋体" w:cs="宋体"/>
                <w:color w:val="auto"/>
                <w:sz w:val="18"/>
                <w:szCs w:val="18"/>
                <w:lang w:eastAsia="zh-CN"/>
              </w:rPr>
            </w:pPr>
            <w:r>
              <w:rPr>
                <w:rFonts w:hint="eastAsia" w:hAnsi="宋体" w:cs="宋体"/>
                <w:color w:val="auto"/>
                <w:sz w:val="18"/>
                <w:szCs w:val="18"/>
              </w:rPr>
              <w:t>1、泄水孔未按图设置,挡土墙组砌未内外搭砌、上下错缝,拉结石、丁砌石交错设置,砌筑时砂浆不饱满；</w:t>
            </w:r>
          </w:p>
          <w:p>
            <w:pPr>
              <w:widowControl/>
              <w:rPr>
                <w:rFonts w:hAnsi="宋体" w:cs="宋体"/>
                <w:color w:val="auto"/>
                <w:sz w:val="18"/>
                <w:szCs w:val="18"/>
              </w:rPr>
            </w:pPr>
            <w:r>
              <w:rPr>
                <w:rFonts w:hint="eastAsia" w:hAnsi="宋体" w:cs="宋体"/>
                <w:color w:val="auto"/>
                <w:sz w:val="18"/>
                <w:szCs w:val="18"/>
              </w:rPr>
              <w:t xml:space="preserve">2、挡土墙出现开裂。 </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500</w:t>
            </w:r>
          </w:p>
        </w:tc>
      </w:tr>
      <w:tr>
        <w:tblPrEx>
          <w:tblCellMar>
            <w:top w:w="0" w:type="dxa"/>
            <w:left w:w="108" w:type="dxa"/>
            <w:bottom w:w="0" w:type="dxa"/>
            <w:right w:w="108" w:type="dxa"/>
          </w:tblCellMar>
        </w:tblPrEx>
        <w:trPr>
          <w:trHeight w:val="1800" w:hRule="atLeast"/>
        </w:trPr>
        <w:tc>
          <w:tcPr>
            <w:tcW w:w="833"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rPr>
                <w:rFonts w:hAnsi="宋体" w:cs="宋体"/>
                <w:color w:val="auto"/>
                <w:sz w:val="18"/>
                <w:szCs w:val="18"/>
              </w:rPr>
            </w:pPr>
          </w:p>
        </w:tc>
        <w:tc>
          <w:tcPr>
            <w:tcW w:w="615" w:type="dxa"/>
            <w:tcBorders>
              <w:top w:val="nil"/>
              <w:left w:val="nil"/>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道路及园建</w:t>
            </w:r>
          </w:p>
        </w:tc>
        <w:tc>
          <w:tcPr>
            <w:tcW w:w="7716" w:type="dxa"/>
            <w:tcBorders>
              <w:top w:val="single" w:color="auto" w:sz="4" w:space="0"/>
              <w:left w:val="nil"/>
              <w:bottom w:val="single" w:color="auto" w:sz="4" w:space="0"/>
              <w:right w:val="single" w:color="auto" w:sz="4" w:space="0"/>
            </w:tcBorders>
            <w:shd w:val="clear" w:color="000000" w:fill="FFFFFF"/>
            <w:noWrap w:val="0"/>
            <w:vAlign w:val="center"/>
          </w:tcPr>
          <w:p>
            <w:pPr>
              <w:widowControl/>
              <w:rPr>
                <w:rFonts w:hint="eastAsia" w:hAnsi="宋体" w:eastAsia="宋体" w:cs="宋体"/>
                <w:color w:val="auto"/>
                <w:sz w:val="18"/>
                <w:szCs w:val="18"/>
                <w:lang w:eastAsia="zh-CN"/>
              </w:rPr>
            </w:pPr>
            <w:r>
              <w:rPr>
                <w:rFonts w:hint="eastAsia" w:hAnsi="宋体" w:cs="宋体"/>
                <w:color w:val="auto"/>
                <w:sz w:val="18"/>
                <w:szCs w:val="18"/>
              </w:rPr>
              <w:t>1、路侧石未做垫层，高度不准确，转角不平顺，接缝不平直，混合使用的；</w:t>
            </w:r>
          </w:p>
          <w:p>
            <w:pPr>
              <w:widowControl/>
              <w:rPr>
                <w:rFonts w:hint="eastAsia" w:hAnsi="宋体" w:eastAsia="宋体" w:cs="宋体"/>
                <w:color w:val="auto"/>
                <w:sz w:val="18"/>
                <w:szCs w:val="18"/>
                <w:lang w:eastAsia="zh-CN"/>
              </w:rPr>
            </w:pPr>
            <w:r>
              <w:rPr>
                <w:rFonts w:hint="eastAsia" w:hAnsi="宋体" w:cs="宋体"/>
                <w:color w:val="auto"/>
                <w:sz w:val="18"/>
                <w:szCs w:val="18"/>
              </w:rPr>
              <w:t xml:space="preserve">2、道路未按设计要求施工，排水不顺畅，有积水、有下沉、有开裂、有污染，沥青铺设不平整、骨料分布不均匀，收口不美观；                         </w:t>
            </w:r>
          </w:p>
          <w:p>
            <w:pPr>
              <w:widowControl/>
              <w:rPr>
                <w:rFonts w:hAnsi="宋体" w:cs="宋体"/>
                <w:color w:val="auto"/>
                <w:sz w:val="18"/>
                <w:szCs w:val="18"/>
              </w:rPr>
            </w:pPr>
            <w:r>
              <w:rPr>
                <w:rFonts w:hint="eastAsia" w:hAnsi="宋体" w:cs="宋体"/>
                <w:color w:val="auto"/>
                <w:sz w:val="18"/>
                <w:szCs w:val="18"/>
              </w:rPr>
              <w:t>3、园艺结构不符合要求，分户围栏未做垫层，不平直，有破损；植草砖有破损且与沥青路面收口差的。</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500</w:t>
            </w:r>
          </w:p>
        </w:tc>
      </w:tr>
      <w:tr>
        <w:tblPrEx>
          <w:tblCellMar>
            <w:top w:w="0" w:type="dxa"/>
            <w:left w:w="108" w:type="dxa"/>
            <w:bottom w:w="0" w:type="dxa"/>
            <w:right w:w="108" w:type="dxa"/>
          </w:tblCellMar>
        </w:tblPrEx>
        <w:trPr>
          <w:trHeight w:val="900" w:hRule="atLeast"/>
        </w:trPr>
        <w:tc>
          <w:tcPr>
            <w:tcW w:w="833"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rPr>
                <w:rFonts w:hAnsi="宋体" w:cs="宋体"/>
                <w:color w:val="auto"/>
                <w:sz w:val="18"/>
                <w:szCs w:val="18"/>
              </w:rPr>
            </w:pPr>
          </w:p>
        </w:tc>
        <w:tc>
          <w:tcPr>
            <w:tcW w:w="615" w:type="dxa"/>
            <w:tcBorders>
              <w:top w:val="nil"/>
              <w:left w:val="nil"/>
              <w:bottom w:val="nil"/>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地坪</w:t>
            </w:r>
          </w:p>
        </w:tc>
        <w:tc>
          <w:tcPr>
            <w:tcW w:w="7716" w:type="dxa"/>
            <w:tcBorders>
              <w:top w:val="single" w:color="auto" w:sz="4" w:space="0"/>
              <w:left w:val="nil"/>
              <w:bottom w:val="nil"/>
              <w:right w:val="single" w:color="auto" w:sz="4" w:space="0"/>
            </w:tcBorders>
            <w:shd w:val="clear" w:color="000000" w:fill="FFFFFF"/>
            <w:noWrap w:val="0"/>
            <w:vAlign w:val="center"/>
          </w:tcPr>
          <w:p>
            <w:pPr>
              <w:widowControl/>
              <w:rPr>
                <w:rFonts w:hint="eastAsia" w:hAnsi="宋体" w:eastAsia="宋体" w:cs="宋体"/>
                <w:color w:val="auto"/>
                <w:sz w:val="18"/>
                <w:szCs w:val="18"/>
                <w:lang w:eastAsia="zh-CN"/>
              </w:rPr>
            </w:pPr>
            <w:r>
              <w:rPr>
                <w:rFonts w:hint="eastAsia" w:hAnsi="宋体" w:cs="宋体"/>
                <w:color w:val="auto"/>
                <w:sz w:val="18"/>
                <w:szCs w:val="18"/>
              </w:rPr>
              <w:t xml:space="preserve">1、室外道路、平台、花园沉降、开裂的；  </w:t>
            </w:r>
          </w:p>
          <w:p>
            <w:pPr>
              <w:widowControl/>
              <w:rPr>
                <w:rFonts w:hAnsi="宋体" w:cs="宋体"/>
                <w:color w:val="auto"/>
                <w:sz w:val="18"/>
                <w:szCs w:val="18"/>
              </w:rPr>
            </w:pPr>
            <w:r>
              <w:rPr>
                <w:rFonts w:hint="eastAsia" w:hAnsi="宋体" w:cs="宋体"/>
                <w:color w:val="auto"/>
                <w:sz w:val="18"/>
                <w:szCs w:val="18"/>
              </w:rPr>
              <w:t>2、室外地坪与外墙交接处未留设沉降缝的。</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500</w:t>
            </w:r>
          </w:p>
        </w:tc>
      </w:tr>
      <w:tr>
        <w:tblPrEx>
          <w:tblCellMar>
            <w:top w:w="0" w:type="dxa"/>
            <w:left w:w="108" w:type="dxa"/>
            <w:bottom w:w="0" w:type="dxa"/>
            <w:right w:w="108" w:type="dxa"/>
          </w:tblCellMar>
        </w:tblPrEx>
        <w:trPr>
          <w:trHeight w:val="990" w:hRule="atLeast"/>
        </w:trPr>
        <w:tc>
          <w:tcPr>
            <w:tcW w:w="833"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十二、成品保护</w:t>
            </w:r>
          </w:p>
        </w:tc>
        <w:tc>
          <w:tcPr>
            <w:tcW w:w="8331" w:type="dxa"/>
            <w:gridSpan w:val="2"/>
            <w:tcBorders>
              <w:top w:val="single" w:color="auto" w:sz="4" w:space="0"/>
              <w:left w:val="nil"/>
              <w:bottom w:val="single" w:color="auto" w:sz="4" w:space="0"/>
              <w:right w:val="single" w:color="auto" w:sz="4" w:space="0"/>
            </w:tcBorders>
            <w:shd w:val="clear" w:color="000000" w:fill="FFFFFF"/>
            <w:noWrap w:val="0"/>
            <w:vAlign w:val="center"/>
          </w:tcPr>
          <w:p>
            <w:pPr>
              <w:widowControl/>
              <w:rPr>
                <w:rFonts w:hAnsi="宋体" w:cs="宋体"/>
                <w:color w:val="auto"/>
                <w:sz w:val="18"/>
                <w:szCs w:val="18"/>
              </w:rPr>
            </w:pPr>
            <w:r>
              <w:rPr>
                <w:rFonts w:hint="eastAsia" w:hAnsi="宋体" w:cs="宋体"/>
                <w:color w:val="auto"/>
                <w:sz w:val="18"/>
                <w:szCs w:val="18"/>
              </w:rPr>
              <w:t>各分项未做到工完场清，未做好成品保护，工序不当造成损坏污染。</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pPr>
              <w:widowControl/>
              <w:jc w:val="center"/>
              <w:rPr>
                <w:rFonts w:hAnsi="宋体" w:cs="宋体"/>
                <w:color w:val="auto"/>
                <w:sz w:val="18"/>
                <w:szCs w:val="18"/>
              </w:rPr>
            </w:pPr>
            <w:r>
              <w:rPr>
                <w:rFonts w:hint="eastAsia" w:hAnsi="宋体" w:cs="宋体"/>
                <w:color w:val="auto"/>
                <w:sz w:val="18"/>
                <w:szCs w:val="18"/>
              </w:rPr>
              <w:t>500</w:t>
            </w:r>
          </w:p>
        </w:tc>
      </w:tr>
    </w:tbl>
    <w:p>
      <w:pPr>
        <w:adjustRightInd w:val="0"/>
        <w:snapToGrid w:val="0"/>
        <w:spacing w:line="360" w:lineRule="auto"/>
        <w:ind w:firstLine="420" w:firstLineChars="200"/>
        <w:rPr>
          <w:rFonts w:ascii="宋体" w:hAnsi="宋体"/>
          <w:color w:val="auto"/>
          <w:u w:val="single"/>
        </w:rPr>
      </w:pPr>
    </w:p>
    <w:p>
      <w:pPr>
        <w:spacing w:line="360" w:lineRule="auto"/>
        <w:jc w:val="left"/>
        <w:rPr>
          <w:rFonts w:hint="eastAsia"/>
          <w:color w:val="auto"/>
          <w:sz w:val="22"/>
          <w:szCs w:val="22"/>
        </w:rPr>
      </w:pPr>
      <w:r>
        <w:rPr>
          <w:rFonts w:ascii="宋体" w:hAnsi="宋体"/>
          <w:color w:val="auto"/>
          <w:u w:val="single"/>
        </w:rPr>
        <w:br w:type="page"/>
      </w:r>
      <w:r>
        <w:rPr>
          <w:rFonts w:hint="eastAsia"/>
          <w:color w:val="auto"/>
          <w:sz w:val="22"/>
          <w:szCs w:val="22"/>
        </w:rPr>
        <w:t>附件四</w:t>
      </w:r>
    </w:p>
    <w:p>
      <w:pPr>
        <w:spacing w:line="360" w:lineRule="auto"/>
        <w:jc w:val="center"/>
        <w:rPr>
          <w:rFonts w:eastAsia="黑体"/>
          <w:color w:val="auto"/>
          <w:sz w:val="32"/>
          <w:szCs w:val="32"/>
        </w:rPr>
      </w:pPr>
      <w:r>
        <w:rPr>
          <w:rFonts w:hint="eastAsia" w:eastAsia="黑体"/>
          <w:color w:val="auto"/>
          <w:sz w:val="32"/>
          <w:szCs w:val="32"/>
        </w:rPr>
        <w:t>分包单位安全生产责任协议</w:t>
      </w:r>
    </w:p>
    <w:p>
      <w:pPr>
        <w:spacing w:line="500" w:lineRule="exact"/>
        <w:jc w:val="left"/>
        <w:rPr>
          <w:rFonts w:ascii="宋体" w:hAnsi="宋体"/>
          <w:color w:val="auto"/>
          <w:sz w:val="22"/>
          <w:szCs w:val="22"/>
        </w:rPr>
      </w:pPr>
      <w:r>
        <w:rPr>
          <w:rFonts w:hint="eastAsia" w:ascii="宋体" w:hAnsi="宋体"/>
          <w:color w:val="auto"/>
          <w:sz w:val="22"/>
          <w:szCs w:val="22"/>
        </w:rPr>
        <w:t>总包单位（甲方）：</w:t>
      </w:r>
      <w:r>
        <w:rPr>
          <w:rFonts w:hint="eastAsia" w:ascii="宋体" w:hAnsi="宋体"/>
          <w:b/>
          <w:color w:val="auto"/>
          <w:sz w:val="22"/>
          <w:szCs w:val="22"/>
          <w:u w:val="single"/>
        </w:rPr>
        <w:t xml:space="preserve">  </w:t>
      </w:r>
      <w:r>
        <w:rPr>
          <w:rFonts w:hint="eastAsia" w:ascii="宋体" w:hAnsi="宋体"/>
          <w:b/>
          <w:color w:val="auto"/>
          <w:sz w:val="22"/>
          <w:szCs w:val="22"/>
          <w:u w:val="single"/>
        </w:rPr>
        <w:t>东莞市莞城建筑工程有限公司</w:t>
      </w:r>
      <w:r>
        <w:rPr>
          <w:rFonts w:hint="eastAsia" w:ascii="宋体" w:hAnsi="宋体"/>
          <w:b/>
          <w:color w:val="auto"/>
          <w:sz w:val="22"/>
          <w:szCs w:val="22"/>
          <w:u w:val="single"/>
        </w:rPr>
        <w:t xml:space="preserve">   </w:t>
      </w:r>
      <w:r>
        <w:rPr>
          <w:rFonts w:hint="eastAsia" w:ascii="宋体" w:hAnsi="宋体"/>
          <w:b/>
          <w:color w:val="auto"/>
          <w:sz w:val="22"/>
          <w:szCs w:val="22"/>
          <w:u w:val="single"/>
        </w:rPr>
        <w:t xml:space="preserve">  </w:t>
      </w:r>
    </w:p>
    <w:p>
      <w:pPr>
        <w:spacing w:line="500" w:lineRule="exact"/>
        <w:jc w:val="left"/>
        <w:rPr>
          <w:rFonts w:ascii="宋体" w:hAnsi="宋体"/>
          <w:color w:val="auto"/>
          <w:sz w:val="22"/>
          <w:szCs w:val="22"/>
          <w:u w:val="single"/>
        </w:rPr>
      </w:pPr>
      <w:r>
        <w:rPr>
          <w:rFonts w:hint="eastAsia" w:ascii="宋体" w:hAnsi="宋体"/>
          <w:color w:val="auto"/>
          <w:sz w:val="22"/>
          <w:szCs w:val="22"/>
        </w:rPr>
        <w:t>专业分包单位（乙方）：</w:t>
      </w:r>
      <w:r>
        <w:rPr>
          <w:rFonts w:hint="eastAsia" w:ascii="宋体" w:hAnsi="宋体"/>
          <w:b/>
          <w:bCs/>
          <w:color w:val="auto"/>
          <w:sz w:val="22"/>
          <w:szCs w:val="22"/>
          <w:u w:val="single"/>
        </w:rPr>
        <w:t xml:space="preserve">                             </w:t>
      </w:r>
    </w:p>
    <w:p>
      <w:pPr>
        <w:spacing w:line="500" w:lineRule="exact"/>
        <w:ind w:firstLine="440" w:firstLineChars="200"/>
        <w:rPr>
          <w:rFonts w:ascii="宋体" w:hAnsi="宋体"/>
          <w:color w:val="auto"/>
          <w:sz w:val="22"/>
          <w:szCs w:val="22"/>
        </w:rPr>
      </w:pPr>
      <w:r>
        <w:rPr>
          <w:rFonts w:hint="eastAsia" w:ascii="宋体" w:hAnsi="宋体"/>
          <w:color w:val="auto"/>
          <w:sz w:val="22"/>
          <w:szCs w:val="22"/>
        </w:rPr>
        <w:t>为了认真贯彻“安全第一，预防为主，综合治理”的安全生产方针，</w:t>
      </w:r>
      <w:r>
        <w:rPr>
          <w:rFonts w:hint="eastAsia" w:ascii="宋体" w:hAnsi="宋体" w:cs="仿宋"/>
          <w:color w:val="auto"/>
          <w:sz w:val="22"/>
          <w:szCs w:val="22"/>
        </w:rPr>
        <w:t>根据《中华人民共和国劳动法》、《中华人民共和国建筑法》、《中华人民共和国安全生产法》、《中华人民共和国消防法》、《建设工程安全生产管理条例》、《安全生产许可证条例》、《化学危险品安全管理条例》、《生产安全事故报告和调查处理条例》等法规的要求。同时依据住建部《建筑施工安全检查标准》JGJ59-2011等规范的要求，</w:t>
      </w:r>
      <w:r>
        <w:rPr>
          <w:rFonts w:hint="eastAsia" w:ascii="宋体" w:hAnsi="宋体"/>
          <w:color w:val="auto"/>
          <w:sz w:val="22"/>
          <w:szCs w:val="22"/>
        </w:rPr>
        <w:t>保证本工程施工有个良好的安全、文明施工作业环境和正常的工作秩序，确保施工安全，避免各类人身伤害事故的发生，明确双方在施工中的安全管理责任，以约束和规范双方行为，使总包与各分包单位在工作中都能认真执行落实上级及项目的各项管理规定，提高安全意识，为有效的避免事故发生，特签订本协议，具体条款如下：</w:t>
      </w:r>
    </w:p>
    <w:p>
      <w:pPr>
        <w:spacing w:line="500" w:lineRule="exact"/>
        <w:ind w:firstLine="442" w:firstLineChars="200"/>
        <w:rPr>
          <w:rFonts w:ascii="宋体" w:hAnsi="宋体"/>
          <w:color w:val="auto"/>
          <w:sz w:val="22"/>
          <w:szCs w:val="22"/>
          <w:u w:val="single"/>
        </w:rPr>
      </w:pPr>
      <w:r>
        <w:rPr>
          <w:rFonts w:hint="eastAsia" w:ascii="宋体" w:hAnsi="宋体"/>
          <w:b/>
          <w:bCs/>
          <w:color w:val="auto"/>
          <w:sz w:val="22"/>
          <w:szCs w:val="22"/>
        </w:rPr>
        <w:t>第一条</w:t>
      </w:r>
      <w:r>
        <w:rPr>
          <w:rFonts w:hint="eastAsia" w:ascii="宋体" w:hAnsi="宋体"/>
          <w:color w:val="auto"/>
          <w:sz w:val="22"/>
          <w:szCs w:val="22"/>
        </w:rPr>
        <w:t xml:space="preserve">  工程名称：</w:t>
      </w:r>
      <w:r>
        <w:rPr>
          <w:rFonts w:hint="eastAsia" w:ascii="宋体" w:hAnsi="宋体"/>
          <w:color w:val="auto"/>
          <w:sz w:val="22"/>
          <w:szCs w:val="22"/>
          <w:u w:val="single"/>
        </w:rPr>
        <w:t xml:space="preserve">                                            </w:t>
      </w:r>
    </w:p>
    <w:p>
      <w:pPr>
        <w:spacing w:line="500" w:lineRule="exact"/>
        <w:ind w:firstLine="880" w:firstLineChars="400"/>
        <w:rPr>
          <w:rFonts w:ascii="宋体" w:hAnsi="宋体"/>
          <w:color w:val="auto"/>
          <w:sz w:val="22"/>
          <w:szCs w:val="22"/>
          <w:u w:val="single"/>
        </w:rPr>
      </w:pPr>
      <w:r>
        <w:rPr>
          <w:rFonts w:hint="eastAsia" w:ascii="宋体" w:hAnsi="宋体"/>
          <w:color w:val="auto"/>
          <w:sz w:val="22"/>
          <w:szCs w:val="22"/>
        </w:rPr>
        <w:t xml:space="preserve">    工程地点：</w:t>
      </w:r>
      <w:r>
        <w:rPr>
          <w:rFonts w:hint="eastAsia"/>
          <w:color w:val="auto"/>
          <w:sz w:val="22"/>
          <w:szCs w:val="22"/>
          <w:u w:val="single"/>
        </w:rPr>
        <w:t xml:space="preserve">                                            </w:t>
      </w:r>
    </w:p>
    <w:p>
      <w:pPr>
        <w:spacing w:line="500" w:lineRule="exact"/>
        <w:ind w:left="1988" w:hanging="1988" w:hangingChars="900"/>
        <w:rPr>
          <w:rFonts w:ascii="宋体" w:hAnsi="宋体"/>
          <w:color w:val="auto"/>
          <w:sz w:val="22"/>
          <w:szCs w:val="22"/>
        </w:rPr>
      </w:pPr>
      <w:r>
        <w:rPr>
          <w:rFonts w:hint="eastAsia" w:ascii="宋体" w:hAnsi="宋体"/>
          <w:b/>
          <w:bCs/>
          <w:color w:val="auto"/>
          <w:sz w:val="22"/>
          <w:szCs w:val="22"/>
        </w:rPr>
        <w:t xml:space="preserve">    第二条</w:t>
      </w:r>
      <w:r>
        <w:rPr>
          <w:rFonts w:hint="eastAsia" w:ascii="宋体" w:hAnsi="宋体"/>
          <w:color w:val="auto"/>
          <w:sz w:val="22"/>
          <w:szCs w:val="22"/>
        </w:rPr>
        <w:t xml:space="preserve">  起止时间：从   年   月  日进场起至   年   月  日。</w:t>
      </w:r>
    </w:p>
    <w:p>
      <w:pPr>
        <w:spacing w:line="500" w:lineRule="exact"/>
        <w:rPr>
          <w:rFonts w:ascii="宋体" w:hAnsi="宋体"/>
          <w:color w:val="auto"/>
          <w:sz w:val="22"/>
          <w:szCs w:val="22"/>
        </w:rPr>
      </w:pPr>
      <w:r>
        <w:rPr>
          <w:rFonts w:hint="eastAsia" w:ascii="宋体" w:hAnsi="宋体"/>
          <w:color w:val="auto"/>
          <w:sz w:val="22"/>
          <w:szCs w:val="22"/>
        </w:rPr>
        <w:t xml:space="preserve">        安全管理目标：无重伤、死亡事故发生等；</w:t>
      </w:r>
    </w:p>
    <w:p>
      <w:pPr>
        <w:spacing w:line="500" w:lineRule="exact"/>
        <w:rPr>
          <w:rFonts w:ascii="宋体" w:hAnsi="宋体"/>
          <w:color w:val="auto"/>
          <w:sz w:val="22"/>
          <w:szCs w:val="22"/>
        </w:rPr>
      </w:pPr>
      <w:r>
        <w:rPr>
          <w:rFonts w:hint="eastAsia" w:ascii="宋体" w:hAnsi="宋体"/>
          <w:color w:val="auto"/>
          <w:sz w:val="22"/>
          <w:szCs w:val="22"/>
        </w:rPr>
        <w:t xml:space="preserve">        文明施工管理目标：场内管理达到目标要求</w:t>
      </w:r>
    </w:p>
    <w:p>
      <w:pPr>
        <w:spacing w:line="500" w:lineRule="exact"/>
        <w:rPr>
          <w:rFonts w:ascii="宋体" w:hAnsi="宋体"/>
          <w:color w:val="auto"/>
          <w:sz w:val="22"/>
          <w:szCs w:val="22"/>
        </w:rPr>
      </w:pPr>
      <w:r>
        <w:rPr>
          <w:rFonts w:hint="eastAsia" w:ascii="宋体" w:hAnsi="宋体"/>
          <w:b/>
          <w:bCs/>
          <w:color w:val="auto"/>
          <w:sz w:val="22"/>
          <w:szCs w:val="22"/>
        </w:rPr>
        <w:t xml:space="preserve">    第三条</w:t>
      </w:r>
      <w:r>
        <w:rPr>
          <w:rFonts w:hint="eastAsia" w:ascii="宋体" w:hAnsi="宋体"/>
          <w:color w:val="auto"/>
          <w:sz w:val="22"/>
          <w:szCs w:val="22"/>
        </w:rPr>
        <w:t xml:space="preserve">  甲、乙双方共同的职责、权利和义务</w:t>
      </w:r>
    </w:p>
    <w:p>
      <w:pPr>
        <w:tabs>
          <w:tab w:val="left" w:pos="540"/>
          <w:tab w:val="left" w:pos="900"/>
        </w:tabs>
        <w:spacing w:before="50" w:after="50" w:line="500" w:lineRule="exact"/>
        <w:ind w:firstLine="480"/>
        <w:rPr>
          <w:rFonts w:ascii="宋体" w:hAnsi="宋体" w:cs="仿宋"/>
          <w:b/>
          <w:color w:val="auto"/>
          <w:sz w:val="22"/>
          <w:szCs w:val="22"/>
        </w:rPr>
      </w:pPr>
      <w:r>
        <w:rPr>
          <w:rFonts w:hint="eastAsia" w:ascii="宋体" w:hAnsi="宋体" w:cs="仿宋"/>
          <w:b/>
          <w:color w:val="auto"/>
          <w:sz w:val="22"/>
          <w:szCs w:val="22"/>
        </w:rPr>
        <w:t>诠释：以下总包指甲方，分包指乙方</w:t>
      </w:r>
    </w:p>
    <w:p>
      <w:pPr>
        <w:tabs>
          <w:tab w:val="left" w:pos="540"/>
          <w:tab w:val="left" w:pos="900"/>
        </w:tabs>
        <w:spacing w:before="50" w:after="50" w:line="500" w:lineRule="exact"/>
        <w:ind w:firstLine="480"/>
        <w:rPr>
          <w:rFonts w:ascii="宋体" w:hAnsi="宋体" w:cs="仿宋"/>
          <w:color w:val="auto"/>
          <w:sz w:val="22"/>
          <w:szCs w:val="22"/>
        </w:rPr>
      </w:pPr>
      <w:r>
        <w:rPr>
          <w:rFonts w:hint="eastAsia" w:ascii="宋体" w:hAnsi="宋体" w:cs="仿宋"/>
          <w:color w:val="auto"/>
          <w:sz w:val="22"/>
          <w:szCs w:val="22"/>
        </w:rPr>
        <w:t>1、双方分别作为独立的法人单位或独立法人单位授权的派出机构，均必须严格执行有关安全生产的法律、法规、标准、规范要求作为法人单位应当履行的责任，切实加强各自单位的安全生产管理工作，健全各自的安全管理体系。</w:t>
      </w:r>
    </w:p>
    <w:p>
      <w:pPr>
        <w:spacing w:line="500" w:lineRule="exact"/>
        <w:ind w:firstLine="440" w:firstLineChars="200"/>
        <w:rPr>
          <w:rFonts w:ascii="宋体" w:hAnsi="宋体"/>
          <w:color w:val="auto"/>
          <w:sz w:val="22"/>
          <w:szCs w:val="22"/>
        </w:rPr>
      </w:pPr>
      <w:r>
        <w:rPr>
          <w:rFonts w:hint="eastAsia" w:ascii="宋体" w:hAnsi="宋体" w:cs="仿宋"/>
          <w:color w:val="auto"/>
          <w:sz w:val="22"/>
          <w:szCs w:val="22"/>
        </w:rPr>
        <w:t>2</w:t>
      </w:r>
      <w:r>
        <w:rPr>
          <w:rFonts w:hint="eastAsia" w:ascii="宋体" w:hAnsi="宋体"/>
          <w:color w:val="auto"/>
          <w:sz w:val="22"/>
          <w:szCs w:val="22"/>
        </w:rPr>
        <w:t>、施工期间，分包单位指派</w:t>
      </w:r>
      <w:r>
        <w:rPr>
          <w:rFonts w:hint="eastAsia" w:ascii="宋体" w:hAnsi="宋体"/>
          <w:color w:val="auto"/>
          <w:sz w:val="22"/>
          <w:szCs w:val="22"/>
          <w:u w:val="single"/>
        </w:rPr>
        <w:t xml:space="preserve">        </w:t>
      </w:r>
      <w:r>
        <w:rPr>
          <w:rFonts w:hint="eastAsia" w:ascii="宋体" w:hAnsi="宋体"/>
          <w:color w:val="auto"/>
          <w:sz w:val="22"/>
          <w:szCs w:val="22"/>
        </w:rPr>
        <w:t>同志负责本项目的施工现场全面安全管理工作。</w:t>
      </w:r>
      <w:r>
        <w:rPr>
          <w:rFonts w:hint="eastAsia" w:ascii="宋体" w:hAnsi="宋体" w:cs="仿宋"/>
          <w:color w:val="auto"/>
          <w:sz w:val="22"/>
          <w:szCs w:val="22"/>
        </w:rPr>
        <w:t>上述分包授权的人员全权负责本单位安全生产，文明施工的各项管理工作。上述分包授权的人员负责签字接收总包单位各项通知、交底等文件，负责</w:t>
      </w:r>
      <w:r>
        <w:rPr>
          <w:rFonts w:hint="eastAsia" w:ascii="宋体" w:hAnsi="宋体"/>
          <w:color w:val="auto"/>
          <w:sz w:val="22"/>
          <w:szCs w:val="22"/>
        </w:rPr>
        <w:t>总包</w:t>
      </w:r>
      <w:r>
        <w:rPr>
          <w:rFonts w:hint="eastAsia" w:ascii="宋体" w:hAnsi="宋体" w:cs="仿宋"/>
          <w:color w:val="auto"/>
          <w:sz w:val="22"/>
          <w:szCs w:val="22"/>
        </w:rPr>
        <w:t>安排布置的有关安全生产，文明施工等方面任务的完成和落实工作。上述人员若发生变更，分包应及时与总包沟通，并留下书面变更记录。</w:t>
      </w:r>
    </w:p>
    <w:p>
      <w:pPr>
        <w:tabs>
          <w:tab w:val="left" w:pos="360"/>
          <w:tab w:val="left" w:pos="540"/>
          <w:tab w:val="left" w:pos="900"/>
          <w:tab w:val="left" w:pos="1080"/>
          <w:tab w:val="left" w:pos="1560"/>
        </w:tabs>
        <w:spacing w:before="50" w:after="50" w:line="500" w:lineRule="exact"/>
        <w:rPr>
          <w:rFonts w:ascii="宋体" w:hAnsi="宋体" w:cs="仿宋"/>
          <w:color w:val="auto"/>
          <w:sz w:val="22"/>
          <w:szCs w:val="22"/>
        </w:rPr>
      </w:pPr>
      <w:r>
        <w:rPr>
          <w:rFonts w:hint="eastAsia" w:ascii="宋体" w:hAnsi="宋体" w:cs="仿宋"/>
          <w:color w:val="auto"/>
          <w:sz w:val="22"/>
          <w:szCs w:val="22"/>
        </w:rPr>
        <w:t xml:space="preserve">    3、双方应根据合同及本协议要求，分别认真做好各自的安全管理工作，最大限度减少和杜绝各类伤亡事故的发生。</w:t>
      </w:r>
    </w:p>
    <w:p>
      <w:pPr>
        <w:tabs>
          <w:tab w:val="left" w:pos="0"/>
          <w:tab w:val="left" w:pos="540"/>
          <w:tab w:val="left" w:pos="900"/>
          <w:tab w:val="left" w:pos="1080"/>
          <w:tab w:val="left" w:pos="1560"/>
        </w:tabs>
        <w:spacing w:before="50" w:after="50" w:line="500" w:lineRule="exact"/>
        <w:jc w:val="left"/>
        <w:rPr>
          <w:rFonts w:ascii="宋体" w:hAnsi="宋体" w:cs="仿宋"/>
          <w:color w:val="auto"/>
          <w:sz w:val="22"/>
          <w:szCs w:val="22"/>
        </w:rPr>
      </w:pPr>
      <w:r>
        <w:rPr>
          <w:rFonts w:hint="eastAsia" w:ascii="宋体" w:hAnsi="宋体" w:cs="仿宋"/>
          <w:color w:val="auto"/>
          <w:sz w:val="22"/>
          <w:szCs w:val="22"/>
        </w:rPr>
        <w:t xml:space="preserve">    4、双方在履行法律、法规要求的安全职责过程中，需要双方合作共同完成的工作，双方必须严格按照协议约定的工作程序执行，确保法律、法规要求的职责得到落实。 </w:t>
      </w:r>
    </w:p>
    <w:p>
      <w:pPr>
        <w:tabs>
          <w:tab w:val="left" w:pos="0"/>
          <w:tab w:val="left" w:pos="540"/>
          <w:tab w:val="left" w:pos="900"/>
          <w:tab w:val="left" w:pos="1080"/>
          <w:tab w:val="left" w:pos="1260"/>
          <w:tab w:val="left" w:pos="1560"/>
        </w:tabs>
        <w:spacing w:before="50" w:after="50" w:line="500" w:lineRule="exact"/>
        <w:rPr>
          <w:rFonts w:ascii="宋体" w:hAnsi="宋体" w:cs="仿宋"/>
          <w:color w:val="auto"/>
          <w:sz w:val="22"/>
          <w:szCs w:val="22"/>
        </w:rPr>
      </w:pPr>
      <w:r>
        <w:rPr>
          <w:rFonts w:hint="eastAsia" w:ascii="宋体" w:hAnsi="宋体" w:cs="仿宋"/>
          <w:color w:val="auto"/>
          <w:sz w:val="22"/>
          <w:szCs w:val="22"/>
        </w:rPr>
        <w:t xml:space="preserve">    5、双方依据国家地方法律、法规、合同及本协议内容在施工过程中留存的书面记录，作为双方履行各自安全职责的主要证据。</w:t>
      </w:r>
    </w:p>
    <w:p>
      <w:pPr>
        <w:tabs>
          <w:tab w:val="left" w:pos="360"/>
          <w:tab w:val="left" w:pos="540"/>
          <w:tab w:val="left" w:pos="900"/>
          <w:tab w:val="left" w:pos="1080"/>
          <w:tab w:val="left" w:pos="1260"/>
          <w:tab w:val="left" w:pos="1560"/>
        </w:tabs>
        <w:spacing w:before="50" w:after="50" w:line="500" w:lineRule="exact"/>
        <w:rPr>
          <w:rFonts w:ascii="宋体" w:hAnsi="宋体" w:cs="仿宋"/>
          <w:color w:val="auto"/>
          <w:sz w:val="22"/>
          <w:szCs w:val="22"/>
        </w:rPr>
      </w:pPr>
      <w:r>
        <w:rPr>
          <w:rFonts w:hint="eastAsia" w:ascii="宋体" w:hAnsi="宋体" w:cs="仿宋"/>
          <w:color w:val="auto"/>
          <w:sz w:val="22"/>
          <w:szCs w:val="22"/>
        </w:rPr>
        <w:t xml:space="preserve">    6、本协议所称伤亡事故均包括对第三方人员造成的伤亡事故。</w:t>
      </w:r>
    </w:p>
    <w:p>
      <w:pPr>
        <w:tabs>
          <w:tab w:val="left" w:pos="540"/>
          <w:tab w:val="left" w:pos="900"/>
        </w:tabs>
        <w:spacing w:before="50" w:after="50" w:line="500" w:lineRule="exact"/>
        <w:rPr>
          <w:rFonts w:ascii="宋体" w:hAnsi="宋体" w:cs="仿宋"/>
          <w:color w:val="auto"/>
          <w:sz w:val="22"/>
          <w:szCs w:val="22"/>
        </w:rPr>
      </w:pPr>
      <w:r>
        <w:rPr>
          <w:rFonts w:hint="eastAsia" w:ascii="宋体" w:hAnsi="宋体" w:cs="仿宋"/>
          <w:color w:val="auto"/>
          <w:sz w:val="22"/>
          <w:szCs w:val="22"/>
        </w:rPr>
        <w:t xml:space="preserve">    7、双方作为法人单位或法人单位授权的派出机构均应当分别履行的责任主要包括：</w:t>
      </w:r>
    </w:p>
    <w:p>
      <w:pPr>
        <w:tabs>
          <w:tab w:val="left" w:pos="540"/>
        </w:tabs>
        <w:spacing w:before="50" w:after="50" w:line="500" w:lineRule="exact"/>
        <w:ind w:left="315" w:firstLine="110" w:firstLineChars="50"/>
        <w:rPr>
          <w:rFonts w:ascii="宋体" w:hAnsi="宋体" w:cs="仿宋"/>
          <w:color w:val="auto"/>
          <w:sz w:val="22"/>
          <w:szCs w:val="22"/>
        </w:rPr>
      </w:pPr>
      <w:r>
        <w:rPr>
          <w:rFonts w:hint="eastAsia" w:ascii="宋体" w:hAnsi="宋体" w:cs="仿宋"/>
          <w:color w:val="auto"/>
          <w:sz w:val="22"/>
          <w:szCs w:val="22"/>
        </w:rPr>
        <w:t>7.1具备安全生产条件所必须的资金投入；</w:t>
      </w:r>
    </w:p>
    <w:p>
      <w:pPr>
        <w:tabs>
          <w:tab w:val="left" w:pos="540"/>
        </w:tabs>
        <w:spacing w:before="50" w:after="50" w:line="500" w:lineRule="exact"/>
        <w:ind w:left="315" w:firstLine="110" w:firstLineChars="50"/>
        <w:rPr>
          <w:rFonts w:ascii="宋体" w:hAnsi="宋体" w:cs="仿宋"/>
          <w:color w:val="auto"/>
          <w:sz w:val="22"/>
          <w:szCs w:val="22"/>
        </w:rPr>
      </w:pPr>
      <w:r>
        <w:rPr>
          <w:rFonts w:hint="eastAsia" w:ascii="宋体" w:hAnsi="宋体" w:cs="仿宋"/>
          <w:color w:val="auto"/>
          <w:sz w:val="22"/>
          <w:szCs w:val="22"/>
        </w:rPr>
        <w:t>7.2按规定配备安全生产管理机构或人员；</w:t>
      </w:r>
    </w:p>
    <w:p>
      <w:pPr>
        <w:tabs>
          <w:tab w:val="left" w:pos="540"/>
        </w:tabs>
        <w:spacing w:before="50" w:after="50" w:line="500" w:lineRule="exact"/>
        <w:ind w:left="315" w:firstLine="110" w:firstLineChars="50"/>
        <w:rPr>
          <w:rFonts w:ascii="宋体" w:hAnsi="宋体" w:cs="仿宋"/>
          <w:color w:val="auto"/>
          <w:sz w:val="22"/>
          <w:szCs w:val="22"/>
        </w:rPr>
      </w:pPr>
      <w:r>
        <w:rPr>
          <w:rFonts w:hint="eastAsia" w:ascii="宋体" w:hAnsi="宋体" w:cs="仿宋"/>
          <w:color w:val="auto"/>
          <w:sz w:val="22"/>
          <w:szCs w:val="22"/>
        </w:rPr>
        <w:t>7.3建立并落实安全生产责任制；</w:t>
      </w:r>
    </w:p>
    <w:p>
      <w:pPr>
        <w:tabs>
          <w:tab w:val="left" w:pos="540"/>
        </w:tabs>
        <w:spacing w:before="50" w:after="50" w:line="500" w:lineRule="exact"/>
        <w:ind w:left="315" w:firstLine="110" w:firstLineChars="50"/>
        <w:rPr>
          <w:rFonts w:ascii="宋体" w:hAnsi="宋体" w:cs="仿宋"/>
          <w:color w:val="auto"/>
          <w:sz w:val="22"/>
          <w:szCs w:val="22"/>
        </w:rPr>
      </w:pPr>
      <w:r>
        <w:rPr>
          <w:rFonts w:hint="eastAsia" w:ascii="宋体" w:hAnsi="宋体" w:cs="仿宋"/>
          <w:color w:val="auto"/>
          <w:sz w:val="22"/>
          <w:szCs w:val="22"/>
        </w:rPr>
        <w:t>7.4健全并落实安全生产规章制度和安全操作规程；</w:t>
      </w:r>
    </w:p>
    <w:p>
      <w:pPr>
        <w:tabs>
          <w:tab w:val="left" w:pos="540"/>
        </w:tabs>
        <w:spacing w:before="50" w:after="50" w:line="500" w:lineRule="exact"/>
        <w:ind w:left="315" w:firstLine="110" w:firstLineChars="50"/>
        <w:rPr>
          <w:rFonts w:ascii="宋体" w:hAnsi="宋体" w:cs="仿宋"/>
          <w:color w:val="auto"/>
          <w:sz w:val="22"/>
          <w:szCs w:val="22"/>
        </w:rPr>
      </w:pPr>
      <w:r>
        <w:rPr>
          <w:rFonts w:hint="eastAsia" w:ascii="宋体" w:hAnsi="宋体" w:cs="仿宋"/>
          <w:color w:val="auto"/>
          <w:sz w:val="22"/>
          <w:szCs w:val="22"/>
        </w:rPr>
        <w:t>7.5根据工程特点，制定相应的安全技术措施、方案，并确保实施；</w:t>
      </w:r>
    </w:p>
    <w:p>
      <w:pPr>
        <w:tabs>
          <w:tab w:val="left" w:pos="540"/>
        </w:tabs>
        <w:spacing w:before="50" w:after="50" w:line="500" w:lineRule="exact"/>
        <w:ind w:firstLine="440" w:firstLineChars="200"/>
        <w:rPr>
          <w:rFonts w:ascii="宋体" w:hAnsi="宋体" w:cs="仿宋"/>
          <w:color w:val="auto"/>
          <w:sz w:val="22"/>
          <w:szCs w:val="22"/>
        </w:rPr>
      </w:pPr>
      <w:r>
        <w:rPr>
          <w:rFonts w:hint="eastAsia" w:ascii="宋体" w:hAnsi="宋体" w:cs="仿宋"/>
          <w:color w:val="auto"/>
          <w:sz w:val="22"/>
          <w:szCs w:val="22"/>
        </w:rPr>
        <w:t>7.6对本单位管理人员和作业人员进行安全生产教育培训并经考核合格后上岗作业，施工生产过程中，要督促作业人员遵章守纪施工；</w:t>
      </w:r>
    </w:p>
    <w:p>
      <w:pPr>
        <w:tabs>
          <w:tab w:val="left" w:pos="540"/>
        </w:tabs>
        <w:spacing w:before="50" w:after="50" w:line="500" w:lineRule="exact"/>
        <w:ind w:firstLine="440" w:firstLineChars="200"/>
        <w:rPr>
          <w:rFonts w:ascii="宋体" w:hAnsi="宋体" w:cs="仿宋"/>
          <w:color w:val="auto"/>
          <w:sz w:val="22"/>
          <w:szCs w:val="22"/>
        </w:rPr>
      </w:pPr>
      <w:r>
        <w:rPr>
          <w:rFonts w:hint="eastAsia" w:ascii="宋体" w:hAnsi="宋体" w:cs="仿宋"/>
          <w:color w:val="auto"/>
          <w:sz w:val="22"/>
          <w:szCs w:val="22"/>
        </w:rPr>
        <w:t>7.7向本单位从业人员如实书面告知作业场所和工作岗位存在的危险因素和防范措施以及事故应急措施并履行签字手续，同时督促作业人员遵照执行；</w:t>
      </w:r>
    </w:p>
    <w:p>
      <w:pPr>
        <w:tabs>
          <w:tab w:val="left" w:pos="540"/>
        </w:tabs>
        <w:spacing w:before="50" w:after="50" w:line="500" w:lineRule="exact"/>
        <w:ind w:left="315" w:firstLine="110" w:firstLineChars="50"/>
        <w:rPr>
          <w:rFonts w:ascii="宋体" w:hAnsi="宋体" w:cs="仿宋"/>
          <w:color w:val="auto"/>
          <w:sz w:val="22"/>
          <w:szCs w:val="22"/>
        </w:rPr>
      </w:pPr>
      <w:r>
        <w:rPr>
          <w:rFonts w:hint="eastAsia" w:ascii="宋体" w:hAnsi="宋体" w:cs="仿宋"/>
          <w:color w:val="auto"/>
          <w:sz w:val="22"/>
          <w:szCs w:val="22"/>
        </w:rPr>
        <w:t>7.8落实安全生产有关标准或规范、做好防护措施；</w:t>
      </w:r>
    </w:p>
    <w:p>
      <w:pPr>
        <w:tabs>
          <w:tab w:val="left" w:pos="540"/>
        </w:tabs>
        <w:spacing w:before="50" w:after="50" w:line="500" w:lineRule="exact"/>
        <w:ind w:left="315" w:firstLine="110" w:firstLineChars="50"/>
        <w:rPr>
          <w:rFonts w:ascii="宋体" w:hAnsi="宋体" w:cs="仿宋"/>
          <w:color w:val="auto"/>
          <w:sz w:val="22"/>
          <w:szCs w:val="22"/>
        </w:rPr>
      </w:pPr>
      <w:r>
        <w:rPr>
          <w:rFonts w:hint="eastAsia" w:ascii="宋体" w:hAnsi="宋体" w:cs="仿宋"/>
          <w:color w:val="auto"/>
          <w:sz w:val="22"/>
          <w:szCs w:val="22"/>
        </w:rPr>
        <w:t>7.9及时发现和消除生产安全事故隐患；</w:t>
      </w:r>
    </w:p>
    <w:p>
      <w:pPr>
        <w:tabs>
          <w:tab w:val="left" w:pos="540"/>
        </w:tabs>
        <w:spacing w:before="50" w:after="50" w:line="500" w:lineRule="exact"/>
        <w:ind w:left="315" w:firstLine="110" w:firstLineChars="50"/>
        <w:rPr>
          <w:rFonts w:ascii="宋体" w:hAnsi="宋体" w:cs="仿宋"/>
          <w:color w:val="auto"/>
          <w:sz w:val="22"/>
          <w:szCs w:val="22"/>
        </w:rPr>
      </w:pPr>
      <w:r>
        <w:rPr>
          <w:rFonts w:hint="eastAsia" w:ascii="宋体" w:hAnsi="宋体" w:cs="仿宋"/>
          <w:color w:val="auto"/>
          <w:sz w:val="22"/>
          <w:szCs w:val="22"/>
        </w:rPr>
        <w:t>7.10及时、如实报告生产安全事故；</w:t>
      </w:r>
    </w:p>
    <w:p>
      <w:pPr>
        <w:tabs>
          <w:tab w:val="left" w:pos="540"/>
        </w:tabs>
        <w:spacing w:before="50" w:after="50" w:line="500" w:lineRule="exact"/>
        <w:ind w:left="315" w:firstLine="110" w:firstLineChars="50"/>
        <w:rPr>
          <w:rFonts w:ascii="宋体" w:hAnsi="宋体" w:cs="仿宋"/>
          <w:color w:val="auto"/>
          <w:sz w:val="22"/>
          <w:szCs w:val="22"/>
        </w:rPr>
      </w:pPr>
      <w:r>
        <w:rPr>
          <w:rFonts w:hint="eastAsia" w:ascii="宋体" w:hAnsi="宋体" w:cs="仿宋"/>
          <w:color w:val="auto"/>
          <w:sz w:val="22"/>
          <w:szCs w:val="22"/>
        </w:rPr>
        <w:t>7.11独立开展对所属从业人员的安全生产教育工作；</w:t>
      </w:r>
    </w:p>
    <w:p>
      <w:pPr>
        <w:tabs>
          <w:tab w:val="left" w:pos="540"/>
        </w:tabs>
        <w:spacing w:before="50" w:after="50" w:line="500" w:lineRule="exact"/>
        <w:ind w:left="315" w:firstLine="110" w:firstLineChars="50"/>
        <w:rPr>
          <w:rFonts w:ascii="宋体" w:hAnsi="宋体" w:cs="仿宋"/>
          <w:color w:val="auto"/>
          <w:sz w:val="22"/>
          <w:szCs w:val="22"/>
        </w:rPr>
      </w:pPr>
      <w:r>
        <w:rPr>
          <w:rFonts w:hint="eastAsia" w:ascii="宋体" w:hAnsi="宋体" w:cs="仿宋"/>
          <w:color w:val="auto"/>
          <w:sz w:val="22"/>
          <w:szCs w:val="22"/>
        </w:rPr>
        <w:t>7.12执行法律、法规、标准、规范的其他要求。</w:t>
      </w:r>
    </w:p>
    <w:p>
      <w:pPr>
        <w:spacing w:line="500" w:lineRule="exact"/>
        <w:rPr>
          <w:rFonts w:ascii="宋体" w:hAnsi="宋体"/>
          <w:color w:val="auto"/>
          <w:sz w:val="22"/>
          <w:szCs w:val="22"/>
        </w:rPr>
      </w:pPr>
      <w:r>
        <w:rPr>
          <w:rFonts w:hint="eastAsia" w:ascii="宋体" w:hAnsi="宋体"/>
          <w:b/>
          <w:bCs/>
          <w:color w:val="auto"/>
          <w:sz w:val="22"/>
          <w:szCs w:val="22"/>
        </w:rPr>
        <w:t xml:space="preserve">    第四条</w:t>
      </w:r>
      <w:r>
        <w:rPr>
          <w:rFonts w:hint="eastAsia" w:ascii="宋体" w:hAnsi="宋体"/>
          <w:color w:val="auto"/>
          <w:sz w:val="22"/>
          <w:szCs w:val="22"/>
        </w:rPr>
        <w:t xml:space="preserve">  甲方（总包）的责任、权利与义务</w:t>
      </w:r>
    </w:p>
    <w:p>
      <w:pPr>
        <w:tabs>
          <w:tab w:val="left" w:pos="540"/>
        </w:tabs>
        <w:spacing w:before="50" w:after="50" w:line="500" w:lineRule="exact"/>
        <w:rPr>
          <w:rFonts w:ascii="宋体" w:hAnsi="宋体" w:cs="仿宋"/>
          <w:color w:val="auto"/>
          <w:sz w:val="22"/>
          <w:szCs w:val="22"/>
        </w:rPr>
      </w:pPr>
      <w:r>
        <w:rPr>
          <w:rFonts w:hint="eastAsia" w:ascii="宋体" w:hAnsi="宋体" w:cs="仿宋"/>
          <w:b/>
          <w:color w:val="auto"/>
          <w:sz w:val="22"/>
          <w:szCs w:val="22"/>
        </w:rPr>
        <w:t xml:space="preserve">    </w:t>
      </w:r>
      <w:r>
        <w:rPr>
          <w:rFonts w:hint="eastAsia" w:ascii="宋体" w:hAnsi="宋体" w:cs="仿宋"/>
          <w:color w:val="auto"/>
          <w:sz w:val="22"/>
          <w:szCs w:val="22"/>
        </w:rPr>
        <w:t>1、总包负责制定工程建设总的安全生产管理各项制度，规范工程建设的安全生产管理，协调分包之间、分包同其他施工单位之间的关系。</w:t>
      </w:r>
    </w:p>
    <w:p>
      <w:pPr>
        <w:tabs>
          <w:tab w:val="left" w:pos="540"/>
        </w:tabs>
        <w:spacing w:before="50" w:after="50" w:line="500" w:lineRule="exact"/>
        <w:rPr>
          <w:rFonts w:ascii="宋体" w:hAnsi="宋体" w:cs="仿宋"/>
          <w:color w:val="auto"/>
          <w:sz w:val="22"/>
          <w:szCs w:val="22"/>
        </w:rPr>
      </w:pPr>
      <w:r>
        <w:rPr>
          <w:rFonts w:hint="eastAsia" w:ascii="宋体" w:hAnsi="宋体" w:cs="仿宋"/>
          <w:color w:val="auto"/>
          <w:sz w:val="22"/>
          <w:szCs w:val="22"/>
        </w:rPr>
        <w:t xml:space="preserve">    2、在分包提出关于明确分包安全责任区的书面要求后，总包负责根据工程现场情况及双方合同要求，为分包明确安全责任区，并负责根据工程进展情况，及时变更分包的安全责任区。</w:t>
      </w:r>
    </w:p>
    <w:p>
      <w:pPr>
        <w:spacing w:before="50" w:after="50" w:line="500" w:lineRule="exact"/>
        <w:ind w:firstLine="440" w:firstLineChars="200"/>
        <w:rPr>
          <w:rFonts w:ascii="宋体" w:hAnsi="宋体" w:cs="仿宋"/>
          <w:color w:val="auto"/>
          <w:sz w:val="22"/>
          <w:szCs w:val="22"/>
        </w:rPr>
      </w:pPr>
      <w:r>
        <w:rPr>
          <w:rFonts w:hint="eastAsia" w:ascii="宋体" w:hAnsi="宋体" w:cs="仿宋"/>
          <w:color w:val="auto"/>
          <w:sz w:val="22"/>
          <w:szCs w:val="22"/>
        </w:rPr>
        <w:t>总包要尽可能以书面的形式为分包明确安全责任区，并由双方负责人签字确认，分别留存，无法书面明确的安全责任区按安全责任区的划分原则确定。</w:t>
      </w:r>
    </w:p>
    <w:p>
      <w:pPr>
        <w:spacing w:before="50" w:after="50" w:line="500" w:lineRule="exact"/>
        <w:ind w:left="-105" w:leftChars="-50" w:firstLine="550" w:firstLineChars="250"/>
        <w:rPr>
          <w:rFonts w:ascii="宋体" w:hAnsi="宋体" w:cs="仿宋"/>
          <w:color w:val="auto"/>
          <w:sz w:val="22"/>
          <w:szCs w:val="22"/>
        </w:rPr>
      </w:pPr>
      <w:r>
        <w:rPr>
          <w:rFonts w:hint="eastAsia" w:ascii="宋体" w:hAnsi="宋体" w:cs="仿宋"/>
          <w:color w:val="auto"/>
          <w:sz w:val="22"/>
          <w:szCs w:val="22"/>
        </w:rPr>
        <w:t>安全责任区划分的原则见分包责任第五条7点</w:t>
      </w:r>
    </w:p>
    <w:p>
      <w:pPr>
        <w:tabs>
          <w:tab w:val="left" w:pos="540"/>
        </w:tabs>
        <w:spacing w:before="50" w:after="50" w:line="500" w:lineRule="exact"/>
        <w:rPr>
          <w:rFonts w:ascii="宋体" w:hAnsi="宋体" w:cs="仿宋"/>
          <w:color w:val="auto"/>
          <w:sz w:val="22"/>
          <w:szCs w:val="22"/>
        </w:rPr>
      </w:pPr>
      <w:r>
        <w:rPr>
          <w:rFonts w:hint="eastAsia" w:ascii="宋体" w:hAnsi="宋体" w:cs="仿宋"/>
          <w:color w:val="auto"/>
          <w:sz w:val="22"/>
          <w:szCs w:val="22"/>
        </w:rPr>
        <w:t xml:space="preserve">    3、总包负责编制工程总的施工组织设计及施组中适应本工程特点的安全技术措施；并及时进行审批、下发给相应的分包；</w:t>
      </w:r>
    </w:p>
    <w:p>
      <w:pPr>
        <w:spacing w:before="50" w:after="50" w:line="500" w:lineRule="exact"/>
        <w:ind w:firstLine="440" w:firstLineChars="200"/>
        <w:rPr>
          <w:rFonts w:ascii="宋体" w:hAnsi="宋体" w:cs="仿宋"/>
          <w:color w:val="auto"/>
          <w:sz w:val="22"/>
          <w:szCs w:val="22"/>
        </w:rPr>
      </w:pPr>
      <w:r>
        <w:rPr>
          <w:rFonts w:hint="eastAsia" w:ascii="宋体" w:hAnsi="宋体" w:cs="仿宋"/>
          <w:color w:val="auto"/>
          <w:sz w:val="22"/>
          <w:szCs w:val="22"/>
        </w:rPr>
        <w:t>对于专业分包单位施工的专业性较强的工程项目，由分包负责及时制定施工组织设计或专项施工方案及相应的安全技术措施，具体要求见分包责任5、10点</w:t>
      </w:r>
    </w:p>
    <w:p>
      <w:pPr>
        <w:tabs>
          <w:tab w:val="left" w:pos="540"/>
        </w:tabs>
        <w:spacing w:before="50" w:after="50" w:line="500" w:lineRule="exact"/>
        <w:rPr>
          <w:rFonts w:ascii="宋体" w:hAnsi="宋体" w:cs="仿宋"/>
          <w:color w:val="auto"/>
          <w:sz w:val="22"/>
          <w:szCs w:val="22"/>
        </w:rPr>
      </w:pPr>
      <w:r>
        <w:rPr>
          <w:rFonts w:hint="eastAsia" w:ascii="宋体" w:hAnsi="宋体" w:cs="仿宋"/>
          <w:color w:val="auto"/>
          <w:sz w:val="22"/>
          <w:szCs w:val="22"/>
        </w:rPr>
        <w:t xml:space="preserve">    4、总包负责根据相关规定，明确在较大危险因素的场所和有关设施、设备上设置安全警示标志的要求。</w:t>
      </w:r>
    </w:p>
    <w:p>
      <w:pPr>
        <w:spacing w:before="50" w:after="50" w:line="500" w:lineRule="exact"/>
        <w:ind w:firstLine="440" w:firstLineChars="200"/>
        <w:rPr>
          <w:rFonts w:ascii="宋体" w:hAnsi="宋体" w:cs="仿宋"/>
          <w:color w:val="auto"/>
          <w:sz w:val="22"/>
          <w:szCs w:val="22"/>
        </w:rPr>
      </w:pPr>
      <w:r>
        <w:rPr>
          <w:rFonts w:hint="eastAsia" w:ascii="宋体" w:hAnsi="宋体" w:cs="仿宋"/>
          <w:color w:val="auto"/>
          <w:sz w:val="22"/>
          <w:szCs w:val="22"/>
        </w:rPr>
        <w:t>较大危险因素的场所和有关设施、设备上主要包括：施工现场入口处、施工起重机械、临时用电设施、脚手架、出入通道口、楼梯口、电梯井口、预留洞口、坑槽口、涵洞口、基坑边沿、爆破物及有害危险气体和液体存放处等。</w:t>
      </w:r>
    </w:p>
    <w:p>
      <w:pPr>
        <w:tabs>
          <w:tab w:val="left" w:pos="540"/>
        </w:tabs>
        <w:spacing w:before="50" w:after="50" w:line="500" w:lineRule="exact"/>
        <w:rPr>
          <w:rFonts w:ascii="宋体" w:hAnsi="宋体" w:cs="仿宋"/>
          <w:color w:val="auto"/>
          <w:sz w:val="22"/>
          <w:szCs w:val="22"/>
        </w:rPr>
      </w:pPr>
      <w:r>
        <w:rPr>
          <w:rFonts w:hint="eastAsia" w:ascii="宋体" w:hAnsi="宋体" w:cs="仿宋"/>
          <w:color w:val="auto"/>
          <w:sz w:val="22"/>
          <w:szCs w:val="22"/>
        </w:rPr>
        <w:t xml:space="preserve">    5、总包负责组织分包及相关方，进行施工现场安全生产的各项验收工作，验收工作必须履行书面手续，总包、分包、第三方等相关方签字确认。</w:t>
      </w:r>
    </w:p>
    <w:p>
      <w:pPr>
        <w:spacing w:before="50" w:after="50" w:line="500" w:lineRule="exact"/>
        <w:ind w:left="-105" w:leftChars="-50" w:firstLine="550" w:firstLineChars="250"/>
        <w:rPr>
          <w:rFonts w:ascii="宋体" w:hAnsi="宋体" w:cs="仿宋"/>
          <w:color w:val="auto"/>
          <w:sz w:val="22"/>
          <w:szCs w:val="22"/>
        </w:rPr>
      </w:pPr>
      <w:r>
        <w:rPr>
          <w:rFonts w:hint="eastAsia" w:ascii="宋体" w:hAnsi="宋体" w:cs="仿宋"/>
          <w:color w:val="auto"/>
          <w:sz w:val="22"/>
          <w:szCs w:val="22"/>
        </w:rPr>
        <w:t>需要进行安全生产验收的工作由分包负责申请报验，具体要求见分包责任第3.13条。</w:t>
      </w:r>
    </w:p>
    <w:p>
      <w:pPr>
        <w:spacing w:before="50" w:after="50" w:line="500" w:lineRule="exact"/>
        <w:ind w:firstLine="440" w:firstLineChars="200"/>
        <w:rPr>
          <w:rFonts w:ascii="宋体" w:hAnsi="宋体" w:cs="仿宋"/>
          <w:color w:val="auto"/>
          <w:sz w:val="22"/>
          <w:szCs w:val="22"/>
        </w:rPr>
      </w:pPr>
      <w:r>
        <w:rPr>
          <w:rFonts w:hint="eastAsia" w:ascii="宋体" w:hAnsi="宋体" w:cs="仿宋"/>
          <w:color w:val="auto"/>
          <w:sz w:val="22"/>
          <w:szCs w:val="22"/>
        </w:rPr>
        <w:t>安全生产验收工作内容主要包括：分包提供的安全防护用具、机械设备、施工机具及配件等的入场验收工作；分包报验的分项工程的验收工作；分包报验的自行安装机械设备与安全防护措施的验收工作等。</w:t>
      </w:r>
    </w:p>
    <w:p>
      <w:pPr>
        <w:tabs>
          <w:tab w:val="left" w:pos="540"/>
        </w:tabs>
        <w:spacing w:before="50" w:after="50" w:line="500" w:lineRule="exact"/>
        <w:ind w:firstLine="330" w:firstLineChars="150"/>
        <w:jc w:val="left"/>
        <w:rPr>
          <w:rFonts w:ascii="宋体" w:hAnsi="宋体" w:cs="仿宋"/>
          <w:color w:val="auto"/>
          <w:sz w:val="22"/>
          <w:szCs w:val="22"/>
        </w:rPr>
      </w:pPr>
      <w:r>
        <w:rPr>
          <w:rFonts w:hint="eastAsia" w:ascii="宋体" w:hAnsi="宋体" w:cs="仿宋"/>
          <w:color w:val="auto"/>
          <w:sz w:val="22"/>
          <w:szCs w:val="22"/>
        </w:rPr>
        <w:t xml:space="preserve"> 分包需报验的分项工程范围执行国家相关规范要求，需报验的机械设备与安全防护措施范围由总包确定。</w:t>
      </w:r>
    </w:p>
    <w:p>
      <w:pPr>
        <w:tabs>
          <w:tab w:val="left" w:pos="540"/>
        </w:tabs>
        <w:spacing w:before="50" w:after="50" w:line="500" w:lineRule="exact"/>
        <w:rPr>
          <w:rFonts w:ascii="宋体" w:hAnsi="宋体" w:cs="仿宋"/>
          <w:color w:val="auto"/>
          <w:sz w:val="22"/>
          <w:szCs w:val="22"/>
        </w:rPr>
      </w:pPr>
      <w:r>
        <w:rPr>
          <w:rFonts w:hint="eastAsia" w:ascii="宋体" w:hAnsi="宋体" w:cs="仿宋"/>
          <w:color w:val="auto"/>
          <w:sz w:val="22"/>
          <w:szCs w:val="22"/>
        </w:rPr>
        <w:t xml:space="preserve">    6、为督促和协助分包做好施工现场安全管理，进一步消除施工现场安全隐患，总包有权对分包的安全责任区进行安全检查，对发现的“人的不安全行为”、“物的不安全状态”、“环境的不良因素”等各类隐患，总包可以以文字或口头形式要求分包及时整改。</w:t>
      </w:r>
    </w:p>
    <w:p>
      <w:pPr>
        <w:spacing w:before="50" w:after="50" w:line="500" w:lineRule="exact"/>
        <w:ind w:firstLine="440" w:firstLineChars="200"/>
        <w:rPr>
          <w:rFonts w:ascii="宋体" w:hAnsi="宋体" w:cs="仿宋"/>
          <w:color w:val="auto"/>
          <w:sz w:val="22"/>
          <w:szCs w:val="22"/>
        </w:rPr>
      </w:pPr>
      <w:r>
        <w:rPr>
          <w:rFonts w:hint="eastAsia" w:ascii="宋体" w:hAnsi="宋体" w:cs="仿宋"/>
          <w:color w:val="auto"/>
          <w:sz w:val="22"/>
          <w:szCs w:val="22"/>
        </w:rPr>
        <w:t>分包必须知晓，总包对分包施工现场进行的安全检查并非本协议要求总包必须履行的责任，总包对分包安全管理责任区域和范围内的安全隐患未及时得到消除而导致的事故不承担责任。</w:t>
      </w:r>
    </w:p>
    <w:p>
      <w:pPr>
        <w:tabs>
          <w:tab w:val="left" w:pos="540"/>
        </w:tabs>
        <w:spacing w:before="50" w:after="50" w:line="500" w:lineRule="exact"/>
        <w:rPr>
          <w:rFonts w:ascii="宋体" w:hAnsi="宋体" w:cs="仿宋"/>
          <w:color w:val="auto"/>
          <w:sz w:val="22"/>
          <w:szCs w:val="22"/>
        </w:rPr>
      </w:pPr>
      <w:r>
        <w:rPr>
          <w:rFonts w:hint="eastAsia" w:ascii="宋体" w:hAnsi="宋体" w:cs="仿宋"/>
          <w:color w:val="auto"/>
          <w:sz w:val="22"/>
          <w:szCs w:val="22"/>
        </w:rPr>
        <w:t xml:space="preserve">    7、当分包根据本协议分包责任第五条16点、第五条18点要求，书面提出某作业场所存在安全隐患导致无法施工时，总包负责和分包共同协商，消除作业场所的安全隐患，保证施工工人的安全，隐患消除完毕，需留存相应的资料，双方签字确认。</w:t>
      </w:r>
    </w:p>
    <w:p>
      <w:pPr>
        <w:tabs>
          <w:tab w:val="left" w:pos="540"/>
        </w:tabs>
        <w:spacing w:before="50" w:after="50" w:line="500" w:lineRule="exact"/>
        <w:rPr>
          <w:rFonts w:ascii="宋体" w:hAnsi="宋体" w:cs="仿宋"/>
          <w:color w:val="auto"/>
          <w:sz w:val="22"/>
          <w:szCs w:val="22"/>
        </w:rPr>
      </w:pPr>
      <w:r>
        <w:rPr>
          <w:rFonts w:hint="eastAsia" w:ascii="宋体" w:hAnsi="宋体" w:cs="仿宋"/>
          <w:color w:val="auto"/>
          <w:sz w:val="22"/>
          <w:szCs w:val="22"/>
        </w:rPr>
        <w:t xml:space="preserve">    8、总包负责监督、督促分包认真开展安全生产教育工作。</w:t>
      </w:r>
    </w:p>
    <w:p>
      <w:pPr>
        <w:spacing w:before="50" w:after="50" w:line="500" w:lineRule="exact"/>
        <w:ind w:firstLine="440" w:firstLineChars="200"/>
        <w:rPr>
          <w:rFonts w:ascii="宋体" w:hAnsi="宋体" w:cs="仿宋"/>
          <w:color w:val="auto"/>
          <w:sz w:val="22"/>
          <w:szCs w:val="22"/>
        </w:rPr>
      </w:pPr>
      <w:r>
        <w:rPr>
          <w:rFonts w:hint="eastAsia" w:ascii="宋体" w:hAnsi="宋体" w:cs="仿宋"/>
          <w:color w:val="auto"/>
          <w:sz w:val="22"/>
          <w:szCs w:val="22"/>
        </w:rPr>
        <w:t>分包必须知晓，总包监督、督促分包对施工工人进行安全教育并非本协议要求总包必须履行的责任，总包对分包事故人员缺失安全教育不承担责任。</w:t>
      </w:r>
    </w:p>
    <w:p>
      <w:pPr>
        <w:tabs>
          <w:tab w:val="left" w:pos="540"/>
        </w:tabs>
        <w:spacing w:before="50" w:after="50" w:line="500" w:lineRule="exact"/>
        <w:rPr>
          <w:rFonts w:ascii="宋体" w:hAnsi="宋体" w:cs="仿宋"/>
          <w:color w:val="auto"/>
          <w:sz w:val="22"/>
          <w:szCs w:val="22"/>
        </w:rPr>
      </w:pPr>
      <w:r>
        <w:rPr>
          <w:rFonts w:hint="eastAsia" w:ascii="宋体" w:hAnsi="宋体" w:cs="仿宋"/>
          <w:color w:val="auto"/>
          <w:sz w:val="22"/>
          <w:szCs w:val="22"/>
        </w:rPr>
        <w:t xml:space="preserve">    9、总包有权对于分包施工人员在生产工作中的违反安全生产规章制度的行为予以制止、纠正和处罚。总包有权对不满足安全管理要求的分包授权的人员提出更换。</w:t>
      </w:r>
    </w:p>
    <w:p>
      <w:pPr>
        <w:tabs>
          <w:tab w:val="left" w:pos="540"/>
        </w:tabs>
        <w:spacing w:before="50" w:after="50" w:line="500" w:lineRule="exact"/>
        <w:rPr>
          <w:rFonts w:ascii="宋体" w:hAnsi="宋体" w:cs="仿宋"/>
          <w:color w:val="auto"/>
          <w:sz w:val="22"/>
          <w:szCs w:val="22"/>
        </w:rPr>
      </w:pPr>
      <w:r>
        <w:rPr>
          <w:rFonts w:hint="eastAsia" w:ascii="宋体" w:hAnsi="宋体" w:cs="仿宋"/>
          <w:color w:val="auto"/>
          <w:sz w:val="22"/>
          <w:szCs w:val="22"/>
        </w:rPr>
        <w:t xml:space="preserve">    10、总包对分包落实法律法规规章要求、落实合同及本协议要求情况，有权进行监督。对分包违法行为有权进行举报，对违反合同及本协议的行为，有权及时制止。同时，因分包违法或违反合同及本协议对总包造成的损失，总包有权进行索赔。</w:t>
      </w:r>
    </w:p>
    <w:p>
      <w:pPr>
        <w:tabs>
          <w:tab w:val="left" w:pos="540"/>
        </w:tabs>
        <w:spacing w:before="50" w:after="50" w:line="500" w:lineRule="exact"/>
        <w:rPr>
          <w:rFonts w:ascii="宋体" w:hAnsi="宋体" w:cs="仿宋"/>
          <w:color w:val="auto"/>
          <w:sz w:val="22"/>
          <w:szCs w:val="22"/>
        </w:rPr>
      </w:pPr>
      <w:r>
        <w:rPr>
          <w:rFonts w:hint="eastAsia" w:ascii="宋体" w:hAnsi="宋体" w:cs="仿宋"/>
          <w:color w:val="auto"/>
          <w:sz w:val="22"/>
          <w:szCs w:val="22"/>
        </w:rPr>
        <w:t xml:space="preserve">    11、总包有权对分包不服从管理，拖延、推委和拒不完成总包安排布置的任务的行为予以制止、纠正和处罚。总包有权对不负责任，不讲安全野蛮指挥的分包管理人员提出更换。</w:t>
      </w:r>
    </w:p>
    <w:p>
      <w:pPr>
        <w:tabs>
          <w:tab w:val="left" w:pos="540"/>
        </w:tabs>
        <w:spacing w:before="50" w:after="50" w:line="500" w:lineRule="exact"/>
        <w:rPr>
          <w:rFonts w:ascii="宋体" w:hAnsi="宋体" w:cs="仿宋"/>
          <w:color w:val="auto"/>
          <w:sz w:val="22"/>
          <w:szCs w:val="22"/>
        </w:rPr>
      </w:pPr>
      <w:r>
        <w:rPr>
          <w:rFonts w:hint="eastAsia" w:ascii="宋体" w:hAnsi="宋体" w:cs="仿宋"/>
          <w:color w:val="auto"/>
          <w:sz w:val="22"/>
          <w:szCs w:val="22"/>
        </w:rPr>
        <w:t xml:space="preserve">    12、其他法律、法规要求作为总包单位应承担的安全责任。</w:t>
      </w:r>
    </w:p>
    <w:p>
      <w:pPr>
        <w:tabs>
          <w:tab w:val="left" w:pos="540"/>
          <w:tab w:val="left" w:pos="900"/>
        </w:tabs>
        <w:spacing w:before="50" w:after="50" w:line="500" w:lineRule="exact"/>
        <w:rPr>
          <w:rFonts w:ascii="宋体" w:hAnsi="宋体"/>
          <w:color w:val="auto"/>
          <w:sz w:val="22"/>
          <w:szCs w:val="22"/>
        </w:rPr>
      </w:pPr>
      <w:r>
        <w:rPr>
          <w:rFonts w:hint="eastAsia" w:ascii="宋体" w:hAnsi="宋体"/>
          <w:b/>
          <w:bCs/>
          <w:color w:val="auto"/>
          <w:sz w:val="22"/>
          <w:szCs w:val="22"/>
        </w:rPr>
        <w:t xml:space="preserve">    第五条</w:t>
      </w:r>
      <w:r>
        <w:rPr>
          <w:rFonts w:hint="eastAsia" w:ascii="宋体" w:hAnsi="宋体"/>
          <w:color w:val="auto"/>
          <w:sz w:val="22"/>
          <w:szCs w:val="22"/>
        </w:rPr>
        <w:t xml:space="preserve">  乙方（分包）的责任、权利与义务</w:t>
      </w:r>
    </w:p>
    <w:p>
      <w:pPr>
        <w:tabs>
          <w:tab w:val="left" w:pos="540"/>
          <w:tab w:val="left" w:pos="900"/>
        </w:tabs>
        <w:spacing w:before="50" w:after="50" w:line="500" w:lineRule="exact"/>
        <w:rPr>
          <w:rFonts w:ascii="宋体" w:hAnsi="宋体" w:cs="仿宋"/>
          <w:color w:val="auto"/>
          <w:sz w:val="22"/>
          <w:szCs w:val="22"/>
        </w:rPr>
      </w:pPr>
      <w:r>
        <w:rPr>
          <w:rFonts w:hint="eastAsia" w:ascii="宋体" w:hAnsi="宋体" w:cs="仿宋"/>
          <w:b/>
          <w:color w:val="auto"/>
          <w:sz w:val="22"/>
          <w:szCs w:val="22"/>
        </w:rPr>
        <w:t xml:space="preserve">   </w:t>
      </w:r>
      <w:r>
        <w:rPr>
          <w:rFonts w:hint="eastAsia" w:ascii="宋体" w:hAnsi="宋体" w:cs="仿宋"/>
          <w:color w:val="auto"/>
          <w:sz w:val="22"/>
          <w:szCs w:val="22"/>
        </w:rPr>
        <w:t xml:space="preserve"> 1、分包授权的项目经理和专职安全生产管理人员必须持有法定代表人身份证明书或授权委托书，同时持《安全生产考核合格证书》上岗；分包使用不满足上述条件的人员对现场进行管理，本单位施工发生事故时，由分包承担全部责任。</w:t>
      </w:r>
    </w:p>
    <w:p>
      <w:pPr>
        <w:tabs>
          <w:tab w:val="left" w:pos="540"/>
          <w:tab w:val="left" w:pos="900"/>
        </w:tabs>
        <w:spacing w:before="50" w:after="50" w:line="500" w:lineRule="exact"/>
        <w:rPr>
          <w:rFonts w:ascii="宋体" w:hAnsi="宋体" w:cs="仿宋"/>
          <w:color w:val="auto"/>
          <w:sz w:val="22"/>
          <w:szCs w:val="22"/>
        </w:rPr>
      </w:pPr>
      <w:r>
        <w:rPr>
          <w:rFonts w:hint="eastAsia" w:ascii="宋体" w:hAnsi="宋体" w:cs="仿宋"/>
          <w:color w:val="auto"/>
          <w:sz w:val="22"/>
          <w:szCs w:val="22"/>
        </w:rPr>
        <w:t xml:space="preserve">    2、分包特种作业人员必须持证上岗，无证上岗人员造成的伤亡事故，由分包承担全部责任。</w:t>
      </w:r>
    </w:p>
    <w:p>
      <w:pPr>
        <w:tabs>
          <w:tab w:val="left" w:pos="540"/>
          <w:tab w:val="left" w:pos="900"/>
        </w:tabs>
        <w:spacing w:before="50" w:after="50" w:line="500" w:lineRule="exact"/>
        <w:rPr>
          <w:rFonts w:ascii="宋体" w:hAnsi="宋体" w:cs="仿宋"/>
          <w:color w:val="auto"/>
          <w:sz w:val="22"/>
          <w:szCs w:val="22"/>
        </w:rPr>
      </w:pPr>
      <w:r>
        <w:rPr>
          <w:rFonts w:hint="eastAsia" w:ascii="宋体" w:hAnsi="宋体" w:cs="仿宋"/>
          <w:color w:val="auto"/>
          <w:sz w:val="22"/>
          <w:szCs w:val="22"/>
        </w:rPr>
        <w:t xml:space="preserve">    3、分包施工现场专职安全管理人员配置必须符合法律法规要求。</w:t>
      </w:r>
    </w:p>
    <w:p>
      <w:pPr>
        <w:spacing w:before="50" w:after="50" w:line="500" w:lineRule="exact"/>
        <w:ind w:firstLine="440" w:firstLineChars="200"/>
        <w:rPr>
          <w:rFonts w:ascii="宋体" w:hAnsi="宋体" w:cs="仿宋"/>
          <w:color w:val="auto"/>
          <w:sz w:val="22"/>
          <w:szCs w:val="22"/>
        </w:rPr>
      </w:pPr>
      <w:r>
        <w:rPr>
          <w:rFonts w:hint="eastAsia" w:ascii="宋体" w:hAnsi="宋体" w:cs="仿宋"/>
          <w:color w:val="auto"/>
          <w:sz w:val="22"/>
          <w:szCs w:val="22"/>
        </w:rPr>
        <w:t>施工人员50人以下的，应当设置1名专职安全生产管理人员；50人-200人的，应设2名专职安全生产管理人员；200人以上的，应根据所承担的分部分项工程施工危险实际情况增配，并不少于3人。</w:t>
      </w:r>
    </w:p>
    <w:p>
      <w:pPr>
        <w:spacing w:before="50" w:after="50" w:line="500" w:lineRule="exact"/>
        <w:ind w:left="-105" w:leftChars="-50" w:firstLine="550" w:firstLineChars="250"/>
        <w:rPr>
          <w:rFonts w:ascii="宋体" w:hAnsi="宋体" w:cs="仿宋"/>
          <w:color w:val="auto"/>
          <w:sz w:val="22"/>
          <w:szCs w:val="22"/>
        </w:rPr>
      </w:pPr>
      <w:r>
        <w:rPr>
          <w:rFonts w:hint="eastAsia" w:ascii="宋体" w:hAnsi="宋体" w:cs="仿宋"/>
          <w:color w:val="auto"/>
          <w:sz w:val="22"/>
          <w:szCs w:val="22"/>
        </w:rPr>
        <w:t>分包上述人员配置不到位或无证上岗，施工工人发生伤亡事故时，由分包承担全部责任。</w:t>
      </w:r>
    </w:p>
    <w:p>
      <w:pPr>
        <w:tabs>
          <w:tab w:val="left" w:pos="540"/>
          <w:tab w:val="left" w:pos="900"/>
        </w:tabs>
        <w:spacing w:before="50" w:after="50" w:line="500" w:lineRule="exact"/>
        <w:rPr>
          <w:rFonts w:ascii="宋体" w:hAnsi="宋体" w:cs="仿宋"/>
          <w:color w:val="auto"/>
          <w:sz w:val="22"/>
          <w:szCs w:val="22"/>
        </w:rPr>
      </w:pPr>
      <w:r>
        <w:rPr>
          <w:rFonts w:hint="eastAsia" w:ascii="宋体" w:hAnsi="宋体" w:cs="仿宋"/>
          <w:color w:val="auto"/>
          <w:sz w:val="22"/>
          <w:szCs w:val="22"/>
        </w:rPr>
        <w:t xml:space="preserve">    4、分包必须与进入总包施工现场的工人签订合法的劳动合同，载明有关保障从业人员劳动安全、防止职业危害的事项，以及依法为从业人员办理工伤社会保险等事项。同时，分包施工人员进入本工程现场，必须向总包提供准确的现场施工工人花名册和身份证明文件，施工过程中临时调整人员时必须及时书面通知总包。</w:t>
      </w:r>
    </w:p>
    <w:p>
      <w:pPr>
        <w:spacing w:before="50" w:after="50" w:line="500" w:lineRule="exact"/>
        <w:ind w:firstLine="440" w:firstLineChars="200"/>
        <w:rPr>
          <w:rFonts w:ascii="宋体" w:hAnsi="宋体" w:cs="仿宋"/>
          <w:color w:val="auto"/>
          <w:sz w:val="22"/>
          <w:szCs w:val="22"/>
        </w:rPr>
      </w:pPr>
      <w:r>
        <w:rPr>
          <w:rFonts w:hint="eastAsia" w:ascii="宋体" w:hAnsi="宋体" w:cs="仿宋"/>
          <w:color w:val="auto"/>
          <w:sz w:val="22"/>
          <w:szCs w:val="22"/>
        </w:rPr>
        <w:t>分包施工人员发生伤亡事故，若事故者未与分包签订劳动合同，或事故者和花名册不符合，不论双方或第三方的原因造成的事故，均由分包承担全部责任。</w:t>
      </w:r>
    </w:p>
    <w:p>
      <w:pPr>
        <w:tabs>
          <w:tab w:val="left" w:pos="540"/>
          <w:tab w:val="left" w:pos="900"/>
        </w:tabs>
        <w:spacing w:before="50" w:after="50" w:line="500" w:lineRule="exact"/>
        <w:rPr>
          <w:rFonts w:ascii="宋体" w:hAnsi="宋体" w:cs="仿宋"/>
          <w:color w:val="auto"/>
          <w:sz w:val="22"/>
          <w:szCs w:val="22"/>
        </w:rPr>
      </w:pPr>
      <w:r>
        <w:rPr>
          <w:rFonts w:hint="eastAsia" w:ascii="宋体" w:hAnsi="宋体" w:cs="仿宋"/>
          <w:color w:val="auto"/>
          <w:sz w:val="22"/>
          <w:szCs w:val="22"/>
        </w:rPr>
        <w:t xml:space="preserve">    5、分包应保证本单位工人身体条件符合所从事工作的要求，尤其不得使用未满18周岁的未成年工或童工、每个上岗人员提供健康证明。由于分包施工工人身体条件不符合所从事工作的要求或分包私自使用上述人员，发生伤亡事故，由分包承担全部责任。</w:t>
      </w:r>
    </w:p>
    <w:p>
      <w:pPr>
        <w:tabs>
          <w:tab w:val="left" w:pos="540"/>
          <w:tab w:val="left" w:pos="900"/>
        </w:tabs>
        <w:spacing w:before="50" w:after="50" w:line="500" w:lineRule="exact"/>
        <w:rPr>
          <w:rFonts w:ascii="宋体" w:hAnsi="宋体" w:cs="仿宋"/>
          <w:color w:val="auto"/>
          <w:sz w:val="22"/>
          <w:szCs w:val="22"/>
        </w:rPr>
      </w:pPr>
      <w:r>
        <w:rPr>
          <w:rFonts w:hint="eastAsia" w:ascii="宋体" w:hAnsi="宋体" w:cs="仿宋"/>
          <w:color w:val="auto"/>
          <w:sz w:val="22"/>
          <w:szCs w:val="22"/>
        </w:rPr>
        <w:t xml:space="preserve">    6、分包不得将承接的工程非法再次转包。分包违反本规定，发生在非法转包单位的伤亡事故，由分包承担全部责任。</w:t>
      </w:r>
    </w:p>
    <w:p>
      <w:pPr>
        <w:tabs>
          <w:tab w:val="left" w:pos="540"/>
          <w:tab w:val="left" w:pos="900"/>
        </w:tabs>
        <w:spacing w:before="50" w:after="50" w:line="500" w:lineRule="exact"/>
        <w:rPr>
          <w:rFonts w:ascii="宋体" w:hAnsi="宋体" w:cs="仿宋"/>
          <w:color w:val="auto"/>
          <w:sz w:val="22"/>
          <w:szCs w:val="22"/>
        </w:rPr>
      </w:pPr>
      <w:r>
        <w:rPr>
          <w:rFonts w:hint="eastAsia" w:ascii="宋体" w:hAnsi="宋体" w:cs="仿宋"/>
          <w:color w:val="auto"/>
          <w:sz w:val="22"/>
          <w:szCs w:val="22"/>
        </w:rPr>
        <w:t xml:space="preserve">    7、分包进入施工现场，须首先向总包提出关于明确分包安全责任区的书面申请，确定责任区后，要和总包履行签字手续。</w:t>
      </w:r>
    </w:p>
    <w:p>
      <w:pPr>
        <w:spacing w:before="50" w:after="50" w:line="500" w:lineRule="exact"/>
        <w:ind w:left="-105" w:leftChars="-50" w:firstLine="440" w:firstLineChars="200"/>
        <w:rPr>
          <w:rFonts w:ascii="宋体" w:hAnsi="宋体" w:cs="仿宋"/>
          <w:color w:val="auto"/>
          <w:sz w:val="22"/>
          <w:szCs w:val="22"/>
        </w:rPr>
      </w:pPr>
      <w:r>
        <w:rPr>
          <w:rFonts w:hint="eastAsia" w:ascii="宋体" w:hAnsi="宋体" w:cs="仿宋"/>
          <w:color w:val="auto"/>
          <w:sz w:val="22"/>
          <w:szCs w:val="22"/>
        </w:rPr>
        <w:t>分包进入施工现场，未向总包提出上述要求，或未经总包明确安全责任区即开始施工，发生伤亡事故，由分包承担全部责任。</w:t>
      </w:r>
    </w:p>
    <w:p>
      <w:pPr>
        <w:spacing w:before="50" w:after="50" w:line="500" w:lineRule="exact"/>
        <w:ind w:left="-105" w:leftChars="-50" w:firstLine="440" w:firstLineChars="200"/>
        <w:rPr>
          <w:rFonts w:ascii="宋体" w:hAnsi="宋体" w:cs="仿宋"/>
          <w:color w:val="auto"/>
          <w:sz w:val="22"/>
          <w:szCs w:val="22"/>
        </w:rPr>
      </w:pPr>
      <w:r>
        <w:rPr>
          <w:rFonts w:hint="eastAsia" w:ascii="宋体" w:hAnsi="宋体" w:cs="仿宋"/>
          <w:color w:val="auto"/>
          <w:sz w:val="22"/>
          <w:szCs w:val="22"/>
        </w:rPr>
        <w:t>分包安全责任区划分的原则为：施工区以分包与总包签订的合同内容所涉及到的所有工作面、材料存放场地和分包施工人员进出工作面所必经的施工区域等为分包安全责任区域，办公区和生活区以分包施工人员办公、生活的区间为责任区域。</w:t>
      </w:r>
    </w:p>
    <w:p>
      <w:pPr>
        <w:tabs>
          <w:tab w:val="left" w:pos="540"/>
          <w:tab w:val="left" w:pos="900"/>
        </w:tabs>
        <w:spacing w:before="50" w:after="50" w:line="500" w:lineRule="exact"/>
        <w:rPr>
          <w:rFonts w:ascii="宋体" w:hAnsi="宋体" w:cs="仿宋"/>
          <w:color w:val="auto"/>
          <w:sz w:val="22"/>
          <w:szCs w:val="22"/>
        </w:rPr>
      </w:pPr>
      <w:r>
        <w:rPr>
          <w:rFonts w:hint="eastAsia" w:ascii="宋体" w:hAnsi="宋体" w:cs="仿宋"/>
          <w:color w:val="auto"/>
          <w:sz w:val="22"/>
          <w:szCs w:val="22"/>
        </w:rPr>
        <w:t xml:space="preserve">    8、分包进入施工现场后，必须服从总包关于施工现场安全管理的各项规定，分包不服从管理导致生产安全事故的，由分包承担全部责任。</w:t>
      </w:r>
    </w:p>
    <w:p>
      <w:pPr>
        <w:tabs>
          <w:tab w:val="left" w:pos="540"/>
          <w:tab w:val="left" w:pos="900"/>
        </w:tabs>
        <w:spacing w:before="50" w:after="50" w:line="500" w:lineRule="exact"/>
        <w:rPr>
          <w:rFonts w:ascii="宋体" w:hAnsi="宋体" w:cs="仿宋"/>
          <w:color w:val="auto"/>
          <w:sz w:val="22"/>
          <w:szCs w:val="22"/>
        </w:rPr>
      </w:pPr>
      <w:r>
        <w:rPr>
          <w:rFonts w:hint="eastAsia" w:ascii="宋体" w:hAnsi="宋体" w:cs="仿宋"/>
          <w:color w:val="auto"/>
          <w:sz w:val="22"/>
          <w:szCs w:val="22"/>
        </w:rPr>
        <w:t xml:space="preserve">    9、分包负责按照相关法规要求，独立组织本单位新进场工人的公司级、项目级、班组级 “三级安全教育”及其他各类教育，并及时组织受教育人员的考核，考核合格后方可上岗操作。</w:t>
      </w:r>
    </w:p>
    <w:p>
      <w:pPr>
        <w:spacing w:before="50" w:after="50" w:line="500" w:lineRule="exact"/>
        <w:ind w:left="-105" w:leftChars="-50" w:firstLine="550" w:firstLineChars="250"/>
        <w:rPr>
          <w:rFonts w:ascii="宋体" w:hAnsi="宋体" w:cs="仿宋"/>
          <w:color w:val="auto"/>
          <w:sz w:val="22"/>
          <w:szCs w:val="22"/>
        </w:rPr>
      </w:pPr>
      <w:r>
        <w:rPr>
          <w:rFonts w:hint="eastAsia" w:ascii="宋体" w:hAnsi="宋体" w:cs="仿宋"/>
          <w:color w:val="auto"/>
          <w:sz w:val="22"/>
          <w:szCs w:val="22"/>
        </w:rPr>
        <w:t>分包还必须对施工工人做好班前、日常安全教育（每周至少开展一次），并留下教育资料存档。</w:t>
      </w:r>
    </w:p>
    <w:p>
      <w:pPr>
        <w:spacing w:before="50" w:after="50" w:line="500" w:lineRule="exact"/>
        <w:ind w:firstLine="440" w:firstLineChars="200"/>
        <w:rPr>
          <w:rFonts w:ascii="宋体" w:hAnsi="宋体" w:cs="仿宋"/>
          <w:color w:val="auto"/>
          <w:sz w:val="22"/>
          <w:szCs w:val="22"/>
        </w:rPr>
      </w:pPr>
      <w:r>
        <w:rPr>
          <w:rFonts w:hint="eastAsia" w:ascii="宋体" w:hAnsi="宋体" w:cs="仿宋"/>
          <w:color w:val="auto"/>
          <w:sz w:val="22"/>
          <w:szCs w:val="22"/>
        </w:rPr>
        <w:t>分包需将对工人开展的“三级安全教育”、考核记录在完成考核后三日内，报总包项目部备案，并留书面记录，双方分别留存。</w:t>
      </w:r>
    </w:p>
    <w:p>
      <w:pPr>
        <w:spacing w:before="50" w:after="50" w:line="500" w:lineRule="exact"/>
        <w:ind w:firstLine="440" w:firstLineChars="200"/>
        <w:rPr>
          <w:rFonts w:ascii="宋体" w:hAnsi="宋体" w:cs="仿宋"/>
          <w:color w:val="auto"/>
          <w:sz w:val="22"/>
          <w:szCs w:val="22"/>
        </w:rPr>
      </w:pPr>
      <w:r>
        <w:rPr>
          <w:rFonts w:hint="eastAsia" w:ascii="宋体" w:hAnsi="宋体" w:cs="仿宋"/>
          <w:color w:val="auto"/>
          <w:sz w:val="22"/>
          <w:szCs w:val="22"/>
        </w:rPr>
        <w:t>分包未按照规定对施工工人开展安全生产教育和考核，分包未按要求向总包上报上述资料，分包工人进场后没有及时组织进行安全教育或遗漏工人没有进行安全教育发生伤亡事故的，由分包承担全部责任。</w:t>
      </w:r>
    </w:p>
    <w:p>
      <w:pPr>
        <w:tabs>
          <w:tab w:val="left" w:pos="540"/>
          <w:tab w:val="left" w:pos="900"/>
        </w:tabs>
        <w:spacing w:before="50" w:after="50" w:line="500" w:lineRule="exact"/>
        <w:rPr>
          <w:rFonts w:ascii="宋体" w:hAnsi="宋体" w:cs="仿宋"/>
          <w:color w:val="auto"/>
          <w:sz w:val="22"/>
          <w:szCs w:val="22"/>
        </w:rPr>
      </w:pPr>
      <w:r>
        <w:rPr>
          <w:rFonts w:hint="eastAsia" w:ascii="宋体" w:hAnsi="宋体" w:cs="仿宋"/>
          <w:color w:val="auto"/>
          <w:sz w:val="22"/>
          <w:szCs w:val="22"/>
        </w:rPr>
        <w:t xml:space="preserve">    10、对于专业分包单位施工的专业性较强的工程项目，由分包负责及时制定各专项施工方案，方案中必须制定符合本工程特点的安全技术措施，及时按程序进行审批。同时由分包负责组织实施方案及相关安全技术措施。由分包编制的施工方案存在缺陷或分包未落实方案及相关安全技术措施导致现场发生伤亡事故的，由分包承担全部责任。</w:t>
      </w:r>
    </w:p>
    <w:p>
      <w:pPr>
        <w:tabs>
          <w:tab w:val="left" w:pos="540"/>
        </w:tabs>
        <w:spacing w:before="50" w:after="50" w:line="500" w:lineRule="exact"/>
        <w:jc w:val="left"/>
        <w:rPr>
          <w:rFonts w:ascii="宋体" w:hAnsi="宋体" w:cs="仿宋"/>
          <w:color w:val="auto"/>
          <w:sz w:val="22"/>
          <w:szCs w:val="22"/>
        </w:rPr>
      </w:pPr>
      <w:r>
        <w:rPr>
          <w:rFonts w:hint="eastAsia" w:ascii="宋体" w:hAnsi="宋体" w:cs="仿宋"/>
          <w:color w:val="auto"/>
          <w:sz w:val="22"/>
          <w:szCs w:val="22"/>
        </w:rPr>
        <w:t xml:space="preserve">    11、分包负责根据总包的施工安排和专项施工方案（响应的安全技术措施）的要求，在自己的责任区内，合理组织施工。不按总包施工安排及技术措施方案施工，自作主张、盲目施工、私自更改施工程序，造成的伤亡事故，由分包承担全部责任。</w:t>
      </w:r>
    </w:p>
    <w:p>
      <w:pPr>
        <w:tabs>
          <w:tab w:val="left" w:pos="540"/>
          <w:tab w:val="left" w:pos="900"/>
        </w:tabs>
        <w:spacing w:before="50" w:after="50" w:line="500" w:lineRule="exact"/>
        <w:rPr>
          <w:rFonts w:ascii="宋体" w:hAnsi="宋体" w:cs="仿宋"/>
          <w:color w:val="auto"/>
          <w:sz w:val="22"/>
          <w:szCs w:val="22"/>
        </w:rPr>
      </w:pPr>
      <w:r>
        <w:rPr>
          <w:rFonts w:hint="eastAsia" w:ascii="宋体" w:hAnsi="宋体" w:cs="仿宋"/>
          <w:color w:val="auto"/>
          <w:sz w:val="22"/>
          <w:szCs w:val="22"/>
        </w:rPr>
        <w:t xml:space="preserve">    12、分包负责根据标准、规程、操作规程、总包技术交底、安全交底、安全作业指导书等的要求，对下属每一位施工工人进行安全技术交底，书面告知作业场所和工作岗位存在的危险因素、技术措施、危险岗位的操作规程、违章操作的危害及事故应急措施等，务必使每一位施工工人掌握自我保护的知识，并负责督促工人执行交底。</w:t>
      </w:r>
    </w:p>
    <w:p>
      <w:pPr>
        <w:spacing w:before="50" w:after="50" w:line="500" w:lineRule="exact"/>
        <w:ind w:left="-105" w:leftChars="-50" w:firstLine="550" w:firstLineChars="250"/>
        <w:rPr>
          <w:rFonts w:ascii="宋体" w:hAnsi="宋体" w:cs="仿宋"/>
          <w:color w:val="auto"/>
          <w:sz w:val="22"/>
          <w:szCs w:val="22"/>
        </w:rPr>
      </w:pPr>
      <w:r>
        <w:rPr>
          <w:rFonts w:hint="eastAsia" w:ascii="宋体" w:hAnsi="宋体" w:cs="仿宋"/>
          <w:color w:val="auto"/>
          <w:sz w:val="22"/>
          <w:szCs w:val="22"/>
        </w:rPr>
        <w:t>安全技术交底必须采用书面形式，接受交底的施工工人必须在交底上签字接收。安全交底一式三份，由工人、分包单位分别留存一份，同时，分包还必须在交底签字完毕后三日内，报总包项目部一份进行备案。</w:t>
      </w:r>
    </w:p>
    <w:p>
      <w:pPr>
        <w:spacing w:before="50" w:after="50" w:line="500" w:lineRule="exact"/>
        <w:ind w:firstLine="440" w:firstLineChars="200"/>
        <w:rPr>
          <w:rFonts w:ascii="宋体" w:hAnsi="宋体" w:cs="仿宋"/>
          <w:color w:val="auto"/>
          <w:sz w:val="22"/>
          <w:szCs w:val="22"/>
        </w:rPr>
      </w:pPr>
      <w:r>
        <w:rPr>
          <w:rFonts w:hint="eastAsia" w:ascii="宋体" w:hAnsi="宋体" w:cs="仿宋"/>
          <w:color w:val="auto"/>
          <w:sz w:val="22"/>
          <w:szCs w:val="22"/>
        </w:rPr>
        <w:t>分包施工人员未接受安全技术交底，或未按照交底要求施工，或分包未按要求向总包上报上述资料，发生伤亡事故的，由分包承担全部责任。</w:t>
      </w:r>
    </w:p>
    <w:p>
      <w:pPr>
        <w:spacing w:before="50" w:after="50" w:line="500" w:lineRule="exact"/>
        <w:rPr>
          <w:rFonts w:ascii="宋体" w:hAnsi="宋体" w:cs="仿宋"/>
          <w:color w:val="auto"/>
          <w:sz w:val="22"/>
          <w:szCs w:val="22"/>
        </w:rPr>
      </w:pPr>
      <w:r>
        <w:rPr>
          <w:rFonts w:hint="eastAsia" w:ascii="宋体" w:hAnsi="宋体" w:cs="仿宋"/>
          <w:color w:val="auto"/>
          <w:sz w:val="22"/>
          <w:szCs w:val="22"/>
        </w:rPr>
        <w:t xml:space="preserve">    13、分包负责按照安全生产相关的法律法规、标准规范、总包签发的技术交底、安全交底、安全作业指导书等要求，及时做好本单位安全责任区内的施工生产和各项安全防护措施等安全生产工作。</w:t>
      </w:r>
    </w:p>
    <w:p>
      <w:pPr>
        <w:spacing w:before="50" w:after="50" w:line="500" w:lineRule="exact"/>
        <w:ind w:firstLine="440" w:firstLineChars="200"/>
        <w:rPr>
          <w:rFonts w:ascii="宋体" w:hAnsi="宋体" w:cs="仿宋"/>
          <w:color w:val="auto"/>
          <w:sz w:val="22"/>
          <w:szCs w:val="22"/>
        </w:rPr>
      </w:pPr>
      <w:r>
        <w:rPr>
          <w:rFonts w:hint="eastAsia" w:ascii="宋体" w:hAnsi="宋体" w:cs="仿宋"/>
          <w:color w:val="auto"/>
          <w:sz w:val="22"/>
          <w:szCs w:val="22"/>
        </w:rPr>
        <w:t>对于相关标准、规范及总包要求进行验收的分项工程及安全防护措施，分包按标准做到位后，在进行下一道工序施工或操作工人进入工作面之前，必须填写报验表，书面报总包进行验收。待双方及相关方共同验收合格并履行验收签字手续后，方可进行后续工序的施工。双方及相关方分别留存报验资料和验收资料。</w:t>
      </w:r>
    </w:p>
    <w:p>
      <w:pPr>
        <w:spacing w:before="50" w:after="50" w:line="500" w:lineRule="exact"/>
        <w:ind w:firstLine="440" w:firstLineChars="200"/>
        <w:rPr>
          <w:rFonts w:ascii="宋体" w:hAnsi="宋体" w:cs="仿宋"/>
          <w:color w:val="auto"/>
          <w:sz w:val="22"/>
          <w:szCs w:val="22"/>
        </w:rPr>
      </w:pPr>
      <w:r>
        <w:rPr>
          <w:rFonts w:hint="eastAsia" w:ascii="宋体" w:hAnsi="宋体" w:cs="仿宋"/>
          <w:color w:val="auto"/>
          <w:sz w:val="22"/>
          <w:szCs w:val="22"/>
        </w:rPr>
        <w:t>分包需报验的分项工程、机械设备及安全防护措施范围，同总包责任4、5点内容。</w:t>
      </w:r>
    </w:p>
    <w:p>
      <w:pPr>
        <w:spacing w:before="50" w:after="50" w:line="500" w:lineRule="exact"/>
        <w:ind w:firstLine="440" w:firstLineChars="200"/>
        <w:rPr>
          <w:rFonts w:ascii="宋体" w:hAnsi="宋体" w:cs="仿宋"/>
          <w:color w:val="auto"/>
          <w:sz w:val="22"/>
          <w:szCs w:val="22"/>
        </w:rPr>
      </w:pPr>
      <w:r>
        <w:rPr>
          <w:rFonts w:hint="eastAsia" w:ascii="宋体" w:hAnsi="宋体" w:cs="仿宋"/>
          <w:color w:val="auto"/>
          <w:sz w:val="22"/>
          <w:szCs w:val="22"/>
        </w:rPr>
        <w:t>分包未按要求做好分项工程及安全防护措施，或分项工程、施工机械设备及安全防护措施未经验收私自施工（以双方签认的验收单为准），导致发生伤亡事故，由分包承担全部责任。</w:t>
      </w:r>
    </w:p>
    <w:p>
      <w:pPr>
        <w:spacing w:before="50" w:after="50" w:line="500" w:lineRule="exact"/>
        <w:ind w:firstLine="440" w:firstLineChars="200"/>
        <w:rPr>
          <w:rFonts w:ascii="宋体" w:hAnsi="宋体" w:cs="仿宋"/>
          <w:color w:val="auto"/>
          <w:sz w:val="22"/>
          <w:szCs w:val="22"/>
        </w:rPr>
      </w:pPr>
      <w:r>
        <w:rPr>
          <w:rFonts w:hint="eastAsia" w:ascii="宋体" w:hAnsi="宋体" w:cs="仿宋"/>
          <w:color w:val="auto"/>
          <w:sz w:val="22"/>
          <w:szCs w:val="22"/>
        </w:rPr>
        <w:t>14、分包负责根据相关标准规范及总包要求，在较大危险因素的场所和有关设施、机械设备上（同总包责任第四条第4点内容）设置安全警示标志。</w:t>
      </w:r>
    </w:p>
    <w:p>
      <w:pPr>
        <w:spacing w:before="50" w:after="50" w:line="500" w:lineRule="exact"/>
        <w:rPr>
          <w:rFonts w:ascii="宋体" w:hAnsi="宋体" w:cs="仿宋"/>
          <w:color w:val="auto"/>
          <w:sz w:val="22"/>
          <w:szCs w:val="22"/>
        </w:rPr>
      </w:pPr>
      <w:r>
        <w:rPr>
          <w:rFonts w:hint="eastAsia" w:ascii="宋体" w:hAnsi="宋体" w:cs="仿宋"/>
          <w:color w:val="auto"/>
          <w:sz w:val="22"/>
          <w:szCs w:val="22"/>
        </w:rPr>
        <w:t xml:space="preserve">    15、当经双方及相关方共同验收合格的分项工程、施工机械设备及安全防护措施移交分包后，分包负责对本单位安全责任区内的分项工程、机械设备及安全防护措施进行日常维护，确保其有效性。</w:t>
      </w:r>
    </w:p>
    <w:p>
      <w:pPr>
        <w:spacing w:before="50" w:after="50" w:line="500" w:lineRule="exact"/>
        <w:ind w:firstLine="440" w:firstLineChars="200"/>
        <w:rPr>
          <w:rFonts w:ascii="宋体" w:hAnsi="宋体" w:cs="仿宋"/>
          <w:color w:val="auto"/>
          <w:sz w:val="22"/>
          <w:szCs w:val="22"/>
        </w:rPr>
      </w:pPr>
      <w:r>
        <w:rPr>
          <w:rFonts w:hint="eastAsia" w:ascii="宋体" w:hAnsi="宋体" w:cs="仿宋"/>
          <w:color w:val="auto"/>
          <w:sz w:val="22"/>
          <w:szCs w:val="22"/>
        </w:rPr>
        <w:t>分包在未向第三方移交分部分项工程及安全防护措施前，对因己方负责范围内的分部分项工程或安全防护措施存在缺陷导致的伤亡事故承担全部责任。</w:t>
      </w:r>
    </w:p>
    <w:p>
      <w:pPr>
        <w:spacing w:before="50" w:after="50" w:line="500" w:lineRule="exact"/>
        <w:rPr>
          <w:rFonts w:ascii="宋体" w:hAnsi="宋体" w:cs="仿宋"/>
          <w:color w:val="auto"/>
          <w:sz w:val="22"/>
          <w:szCs w:val="22"/>
        </w:rPr>
      </w:pPr>
      <w:r>
        <w:rPr>
          <w:rFonts w:hint="eastAsia" w:ascii="宋体" w:hAnsi="宋体" w:cs="仿宋"/>
          <w:color w:val="auto"/>
          <w:sz w:val="22"/>
          <w:szCs w:val="22"/>
        </w:rPr>
        <w:t xml:space="preserve">    16、分包除按4、3.15点做好分部分项工程、施工机械设备及安全防护措施有效性的保障工作外，还必须经常性的检查本单位安全责任区内的各类隐患，包括人的不安全行为、物的不安全状态、环境的不良因素等，对发现的各类隐患要及时处理，并将检查及处理情况记录在案。</w:t>
      </w:r>
    </w:p>
    <w:p>
      <w:pPr>
        <w:spacing w:before="50" w:after="50" w:line="500" w:lineRule="exact"/>
        <w:ind w:firstLine="440" w:firstLineChars="200"/>
        <w:rPr>
          <w:rFonts w:ascii="宋体" w:hAnsi="宋体" w:cs="仿宋"/>
          <w:color w:val="auto"/>
          <w:sz w:val="22"/>
          <w:szCs w:val="22"/>
        </w:rPr>
      </w:pPr>
      <w:r>
        <w:rPr>
          <w:rFonts w:hint="eastAsia" w:ascii="宋体" w:hAnsi="宋体" w:cs="仿宋"/>
          <w:color w:val="auto"/>
          <w:sz w:val="22"/>
          <w:szCs w:val="22"/>
        </w:rPr>
        <w:t>分包需将对本单位安全责任区的检查情况或检查记录，每日及时向总包进行书面汇报，以便于总包协助分包解决其安全责任区的隐患，保证分包施工工人的安全。</w:t>
      </w:r>
    </w:p>
    <w:p>
      <w:pPr>
        <w:spacing w:before="50" w:after="50" w:line="500" w:lineRule="exact"/>
        <w:ind w:firstLine="440" w:firstLineChars="200"/>
        <w:rPr>
          <w:rFonts w:ascii="宋体" w:hAnsi="宋体" w:cs="仿宋"/>
          <w:color w:val="auto"/>
          <w:sz w:val="22"/>
          <w:szCs w:val="22"/>
        </w:rPr>
      </w:pPr>
      <w:r>
        <w:rPr>
          <w:rFonts w:hint="eastAsia" w:ascii="宋体" w:hAnsi="宋体" w:cs="仿宋"/>
          <w:color w:val="auto"/>
          <w:sz w:val="22"/>
          <w:szCs w:val="22"/>
        </w:rPr>
        <w:t>分包未履行检查职责或未发现本单位安全责任区的隐患，导致发生伤亡事故，由分包承担全部责任。</w:t>
      </w:r>
    </w:p>
    <w:p>
      <w:pPr>
        <w:spacing w:before="50" w:after="50" w:line="500" w:lineRule="exact"/>
        <w:rPr>
          <w:rFonts w:ascii="宋体" w:hAnsi="宋体" w:cs="仿宋"/>
          <w:color w:val="auto"/>
          <w:sz w:val="22"/>
          <w:szCs w:val="22"/>
        </w:rPr>
      </w:pPr>
      <w:r>
        <w:rPr>
          <w:rFonts w:hint="eastAsia" w:ascii="宋体" w:hAnsi="宋体" w:cs="仿宋"/>
          <w:color w:val="auto"/>
          <w:sz w:val="22"/>
          <w:szCs w:val="22"/>
        </w:rPr>
        <w:t xml:space="preserve">    分包发现安全隐患未按上述要求向总包及时汇报或隐瞒不报，总包即认为分包能够独立解决该隐患，此类隐患导致的事故由分包承担全部责任。</w:t>
      </w:r>
    </w:p>
    <w:p>
      <w:pPr>
        <w:spacing w:before="50" w:after="50" w:line="500" w:lineRule="exact"/>
        <w:rPr>
          <w:rFonts w:ascii="宋体" w:hAnsi="宋体" w:cs="仿宋"/>
          <w:color w:val="auto"/>
          <w:sz w:val="22"/>
          <w:szCs w:val="22"/>
        </w:rPr>
      </w:pPr>
      <w:r>
        <w:rPr>
          <w:rFonts w:hint="eastAsia" w:ascii="宋体" w:hAnsi="宋体" w:cs="仿宋"/>
          <w:color w:val="auto"/>
          <w:sz w:val="22"/>
          <w:szCs w:val="22"/>
        </w:rPr>
        <w:t xml:space="preserve">    17、当总包按照总包责任3、6点要求，对分包安全责任区的隐患提出整改要求后，分包负责按照总包文字或口头的整改要求，及时纠正本单位的安全隐患并要以整改反馈单的形式向总包反馈整改情况。分包未按总包要求及时纠正隐患，导致发生伤亡事故，由分包承担全部责任。</w:t>
      </w:r>
    </w:p>
    <w:p>
      <w:pPr>
        <w:spacing w:before="50" w:after="50" w:line="500" w:lineRule="exact"/>
        <w:rPr>
          <w:rFonts w:ascii="宋体" w:hAnsi="宋体" w:cs="仿宋"/>
          <w:color w:val="auto"/>
          <w:sz w:val="22"/>
          <w:szCs w:val="22"/>
        </w:rPr>
      </w:pPr>
      <w:r>
        <w:rPr>
          <w:rFonts w:hint="eastAsia" w:ascii="宋体" w:hAnsi="宋体" w:cs="仿宋"/>
          <w:color w:val="auto"/>
          <w:sz w:val="22"/>
          <w:szCs w:val="22"/>
        </w:rPr>
        <w:t xml:space="preserve">    18、分包负责在安排本单位施工工人工作任务前，派专人检查工人所在的施工区域、作业环境、安全防护措施、施工机械设备、工具用具等有无安全隐患。若存在安全隐患能够内部解决的，分包必须及时将隐患解决后方能安排工人作业。若需和总包协调解决的，分包必须及时以书面形式向总包反馈，待双方共同将隐患排除后方准施工。</w:t>
      </w:r>
    </w:p>
    <w:p>
      <w:pPr>
        <w:spacing w:before="50" w:after="50" w:line="500" w:lineRule="exact"/>
        <w:ind w:firstLine="440" w:firstLineChars="200"/>
        <w:rPr>
          <w:rFonts w:ascii="宋体" w:hAnsi="宋体" w:cs="仿宋"/>
          <w:color w:val="auto"/>
          <w:sz w:val="22"/>
          <w:szCs w:val="22"/>
        </w:rPr>
      </w:pPr>
      <w:r>
        <w:rPr>
          <w:rFonts w:hint="eastAsia" w:ascii="宋体" w:hAnsi="宋体" w:cs="仿宋"/>
          <w:color w:val="auto"/>
          <w:sz w:val="22"/>
          <w:szCs w:val="22"/>
        </w:rPr>
        <w:t>若分包安排工人作业前未检查有无安全隐患，或发现隐患不进行整改也没有书面反馈给总包要求排除即自行组织施工，就表示分包确认施工场所、作业环境、施工机械设备、工具用具等符合分包安全要求。分包对施工过程中由于上述因素不良而导致的伤亡事故承担全部责任。</w:t>
      </w:r>
    </w:p>
    <w:p>
      <w:pPr>
        <w:tabs>
          <w:tab w:val="left" w:pos="540"/>
          <w:tab w:val="left" w:pos="900"/>
        </w:tabs>
        <w:spacing w:before="50" w:after="50" w:line="500" w:lineRule="exact"/>
        <w:rPr>
          <w:rFonts w:ascii="宋体" w:hAnsi="宋体" w:cs="仿宋"/>
          <w:color w:val="auto"/>
          <w:sz w:val="22"/>
          <w:szCs w:val="22"/>
        </w:rPr>
      </w:pPr>
      <w:r>
        <w:rPr>
          <w:rFonts w:hint="eastAsia" w:ascii="宋体" w:hAnsi="宋体" w:cs="仿宋"/>
          <w:color w:val="auto"/>
          <w:sz w:val="22"/>
          <w:szCs w:val="22"/>
        </w:rPr>
        <w:t xml:space="preserve">    19、分包负责合理使用总包提供的施工机械设备、临时用电设施、居住住所等安全物质条件。分包使用总包提供的上述安全物质条件前，要向总包提出书面申请，并认真检查物质条件能否满足安全规定并保证己方安全生产需要。对于满足分包需要的要与总包履行交接手续，对于不符合安全规定的应及时向总包提出。总包必须积极整改，整改合格后，履行交接手续后方准使用。</w:t>
      </w:r>
    </w:p>
    <w:p>
      <w:pPr>
        <w:spacing w:before="50" w:after="50" w:line="500" w:lineRule="exact"/>
        <w:ind w:firstLine="440" w:firstLineChars="200"/>
        <w:rPr>
          <w:rFonts w:ascii="宋体" w:hAnsi="宋体" w:cs="仿宋"/>
          <w:color w:val="auto"/>
          <w:sz w:val="22"/>
          <w:szCs w:val="22"/>
        </w:rPr>
      </w:pPr>
      <w:r>
        <w:rPr>
          <w:rFonts w:hint="eastAsia" w:ascii="宋体" w:hAnsi="宋体" w:cs="仿宋"/>
          <w:color w:val="auto"/>
          <w:sz w:val="22"/>
          <w:szCs w:val="22"/>
        </w:rPr>
        <w:t>违反本规定或不经总包许可，不正确使用安全物质条件导致伤亡事故，或因分包原因导致安全物质条件发生缺陷等导致伤亡事故时，由分包承担全部责任。</w:t>
      </w:r>
    </w:p>
    <w:p>
      <w:pPr>
        <w:spacing w:before="50" w:after="50" w:line="500" w:lineRule="exact"/>
        <w:ind w:left="-105" w:leftChars="-50" w:firstLine="550" w:firstLineChars="250"/>
        <w:rPr>
          <w:rFonts w:ascii="宋体" w:hAnsi="宋体" w:cs="仿宋"/>
          <w:color w:val="auto"/>
          <w:sz w:val="22"/>
          <w:szCs w:val="22"/>
        </w:rPr>
      </w:pPr>
      <w:r>
        <w:rPr>
          <w:rFonts w:hint="eastAsia" w:ascii="宋体" w:hAnsi="宋体" w:cs="仿宋"/>
          <w:color w:val="auto"/>
          <w:sz w:val="22"/>
          <w:szCs w:val="22"/>
        </w:rPr>
        <w:t>本条阐述事项的典型事例包括但不限于下列各项：</w:t>
      </w:r>
    </w:p>
    <w:p>
      <w:pPr>
        <w:spacing w:before="50" w:after="50" w:line="500" w:lineRule="exact"/>
        <w:ind w:firstLine="440" w:firstLineChars="200"/>
        <w:rPr>
          <w:rFonts w:ascii="宋体" w:hAnsi="宋体" w:cs="仿宋"/>
          <w:color w:val="auto"/>
          <w:sz w:val="22"/>
          <w:szCs w:val="22"/>
        </w:rPr>
      </w:pPr>
      <w:r>
        <w:rPr>
          <w:rFonts w:hint="eastAsia" w:ascii="宋体" w:hAnsi="宋体" w:cs="仿宋"/>
          <w:color w:val="auto"/>
          <w:sz w:val="22"/>
          <w:szCs w:val="22"/>
        </w:rPr>
        <w:t>19.1分包使用总包提供电器设备，未报请总包同意，在使用前也未进行检测是否合格后即自行使用，擅自乱拉电器线路造成伤亡事故的，由分包承担全部责任。</w:t>
      </w:r>
    </w:p>
    <w:p>
      <w:pPr>
        <w:spacing w:before="50" w:after="50" w:line="500" w:lineRule="exact"/>
        <w:ind w:left="-105" w:leftChars="-50" w:firstLine="550" w:firstLineChars="250"/>
        <w:rPr>
          <w:rFonts w:ascii="宋体" w:hAnsi="宋体" w:cs="仿宋"/>
          <w:color w:val="auto"/>
          <w:sz w:val="22"/>
          <w:szCs w:val="22"/>
        </w:rPr>
      </w:pPr>
      <w:r>
        <w:rPr>
          <w:rFonts w:hint="eastAsia" w:ascii="宋体" w:hAnsi="宋体" w:cs="仿宋"/>
          <w:color w:val="auto"/>
          <w:sz w:val="22"/>
          <w:szCs w:val="22"/>
        </w:rPr>
        <w:t>19.2分包施工人员未经总包允许私自动用、乱开总包机械设备造成伤亡事故的。</w:t>
      </w:r>
    </w:p>
    <w:p>
      <w:pPr>
        <w:spacing w:before="50" w:after="50" w:line="500" w:lineRule="exact"/>
        <w:ind w:left="-105" w:leftChars="-50" w:firstLine="550" w:firstLineChars="250"/>
        <w:rPr>
          <w:rFonts w:ascii="宋体" w:hAnsi="宋体" w:cs="仿宋"/>
          <w:color w:val="auto"/>
          <w:sz w:val="22"/>
          <w:szCs w:val="22"/>
        </w:rPr>
      </w:pPr>
      <w:r>
        <w:rPr>
          <w:rFonts w:hint="eastAsia" w:ascii="宋体" w:hAnsi="宋体" w:cs="仿宋"/>
          <w:color w:val="auto"/>
          <w:sz w:val="22"/>
          <w:szCs w:val="22"/>
        </w:rPr>
        <w:t>19.3分包使用总包提供的机械时，操作人员违反操作规程操作造成伤亡事故，由分包承担全部责任。</w:t>
      </w:r>
    </w:p>
    <w:p>
      <w:pPr>
        <w:tabs>
          <w:tab w:val="left" w:pos="540"/>
          <w:tab w:val="left" w:pos="900"/>
        </w:tabs>
        <w:spacing w:before="50" w:after="50" w:line="500" w:lineRule="exact"/>
        <w:rPr>
          <w:rFonts w:ascii="宋体" w:hAnsi="宋体" w:cs="仿宋"/>
          <w:color w:val="auto"/>
          <w:sz w:val="22"/>
          <w:szCs w:val="22"/>
        </w:rPr>
      </w:pPr>
      <w:r>
        <w:rPr>
          <w:rFonts w:hint="eastAsia" w:ascii="宋体" w:hAnsi="宋体" w:cs="仿宋"/>
          <w:color w:val="auto"/>
          <w:sz w:val="22"/>
          <w:szCs w:val="22"/>
        </w:rPr>
        <w:t xml:space="preserve">    20、分包必须按有关临时用电规范和总包的相关要求设置临时用电设施，并派专职电工负责临时用电设施的维护和接用电作业。</w:t>
      </w:r>
    </w:p>
    <w:p>
      <w:pPr>
        <w:tabs>
          <w:tab w:val="left" w:pos="540"/>
          <w:tab w:val="left" w:pos="900"/>
        </w:tabs>
        <w:spacing w:before="50" w:after="50" w:line="500" w:lineRule="exact"/>
        <w:rPr>
          <w:rFonts w:ascii="宋体" w:hAnsi="宋体" w:cs="仿宋"/>
          <w:color w:val="auto"/>
          <w:sz w:val="22"/>
          <w:szCs w:val="22"/>
        </w:rPr>
      </w:pPr>
      <w:r>
        <w:rPr>
          <w:rFonts w:hint="eastAsia" w:ascii="宋体" w:hAnsi="宋体" w:cs="仿宋"/>
          <w:color w:val="auto"/>
          <w:sz w:val="22"/>
          <w:szCs w:val="22"/>
        </w:rPr>
        <w:t xml:space="preserve">    21、分包不得擅自拆除、变动现场的安全防护措施、安全标志和警告牌。</w:t>
      </w:r>
    </w:p>
    <w:p>
      <w:pPr>
        <w:spacing w:before="50" w:after="50" w:line="500" w:lineRule="exact"/>
        <w:ind w:firstLine="440" w:firstLineChars="200"/>
        <w:rPr>
          <w:rFonts w:ascii="宋体" w:hAnsi="宋体" w:cs="仿宋"/>
          <w:color w:val="auto"/>
          <w:sz w:val="22"/>
          <w:szCs w:val="22"/>
        </w:rPr>
      </w:pPr>
      <w:r>
        <w:rPr>
          <w:rFonts w:hint="eastAsia" w:ascii="宋体" w:hAnsi="宋体" w:cs="仿宋"/>
          <w:color w:val="auto"/>
          <w:sz w:val="22"/>
          <w:szCs w:val="22"/>
        </w:rPr>
        <w:t>因施工生产需要拆卸的安全防护措施，分包必须向总包提出书面申请。经双方及相关方协商一致并采取必要、可靠的安全措施后方能拆除。安全防护措施拆除后，由分包负责该区域的安全管理责任。如在该区域发生安全生产事故，由分包承担全部责任。</w:t>
      </w:r>
    </w:p>
    <w:p>
      <w:pPr>
        <w:spacing w:before="50" w:after="50" w:line="500" w:lineRule="exact"/>
        <w:ind w:left="-105" w:leftChars="-50" w:firstLine="550" w:firstLineChars="250"/>
        <w:rPr>
          <w:rFonts w:ascii="宋体" w:hAnsi="宋体" w:cs="仿宋"/>
          <w:color w:val="auto"/>
          <w:sz w:val="22"/>
          <w:szCs w:val="22"/>
        </w:rPr>
      </w:pPr>
      <w:r>
        <w:rPr>
          <w:rFonts w:hint="eastAsia" w:ascii="宋体" w:hAnsi="宋体" w:cs="仿宋"/>
          <w:color w:val="auto"/>
          <w:sz w:val="22"/>
          <w:szCs w:val="22"/>
        </w:rPr>
        <w:t>安全防护措施的拆除必须留存双方签认的书面记录。</w:t>
      </w:r>
    </w:p>
    <w:p>
      <w:pPr>
        <w:spacing w:before="50" w:after="50" w:line="500" w:lineRule="exact"/>
        <w:ind w:left="-105" w:leftChars="-50" w:firstLine="550" w:firstLineChars="250"/>
        <w:rPr>
          <w:rFonts w:ascii="宋体" w:hAnsi="宋体" w:cs="仿宋"/>
          <w:color w:val="auto"/>
          <w:sz w:val="22"/>
          <w:szCs w:val="22"/>
        </w:rPr>
      </w:pPr>
      <w:r>
        <w:rPr>
          <w:rFonts w:hint="eastAsia" w:ascii="宋体" w:hAnsi="宋体" w:cs="仿宋"/>
          <w:color w:val="auto"/>
          <w:sz w:val="22"/>
          <w:szCs w:val="22"/>
        </w:rPr>
        <w:t>分包对本单位施工工人擅自拆除或未按总包批准的拆除要求拆除安全防护措施所造成的伤亡事故，承担全部责任。</w:t>
      </w:r>
    </w:p>
    <w:p>
      <w:pPr>
        <w:tabs>
          <w:tab w:val="left" w:pos="540"/>
          <w:tab w:val="left" w:pos="900"/>
        </w:tabs>
        <w:spacing w:before="50" w:after="50" w:line="500" w:lineRule="exact"/>
        <w:rPr>
          <w:rFonts w:ascii="宋体" w:hAnsi="宋体" w:cs="仿宋"/>
          <w:color w:val="auto"/>
          <w:sz w:val="22"/>
          <w:szCs w:val="22"/>
        </w:rPr>
      </w:pPr>
      <w:r>
        <w:rPr>
          <w:rFonts w:hint="eastAsia" w:ascii="宋体" w:hAnsi="宋体" w:cs="仿宋"/>
          <w:color w:val="auto"/>
          <w:sz w:val="22"/>
          <w:szCs w:val="22"/>
        </w:rPr>
        <w:t xml:space="preserve">   22、分包负责为本单位施工工人提供合格的安全帽、安全带、护目镜、手套等各类安全防护用具和安全防护服装，并不能以货币等非实物的方式代替。同时分包相关管理人员必须督促施工工人自觉穿戴好防护用品。</w:t>
      </w:r>
    </w:p>
    <w:p>
      <w:pPr>
        <w:spacing w:before="50" w:after="50" w:line="500" w:lineRule="exact"/>
        <w:ind w:firstLine="440" w:firstLineChars="200"/>
        <w:rPr>
          <w:rFonts w:ascii="宋体" w:hAnsi="宋体" w:cs="仿宋"/>
          <w:color w:val="auto"/>
          <w:sz w:val="22"/>
          <w:szCs w:val="22"/>
        </w:rPr>
      </w:pPr>
      <w:r>
        <w:rPr>
          <w:rFonts w:hint="eastAsia" w:ascii="宋体" w:hAnsi="宋体" w:cs="仿宋"/>
          <w:color w:val="auto"/>
          <w:sz w:val="22"/>
          <w:szCs w:val="22"/>
        </w:rPr>
        <w:t>分包未向工人提供安全防护用品，或提供不合格的安全防护用品，以及分包施工工人不正确佩戴安全防护用品发生伤亡事故的，由分包承担全部责任。</w:t>
      </w:r>
    </w:p>
    <w:p>
      <w:pPr>
        <w:tabs>
          <w:tab w:val="left" w:pos="540"/>
          <w:tab w:val="left" w:pos="900"/>
        </w:tabs>
        <w:spacing w:before="50" w:after="50" w:line="500" w:lineRule="exact"/>
        <w:rPr>
          <w:rFonts w:ascii="宋体" w:hAnsi="宋体" w:cs="仿宋"/>
          <w:color w:val="auto"/>
          <w:sz w:val="22"/>
          <w:szCs w:val="22"/>
        </w:rPr>
      </w:pPr>
      <w:r>
        <w:rPr>
          <w:rFonts w:hint="eastAsia" w:ascii="宋体" w:hAnsi="宋体" w:cs="仿宋"/>
          <w:color w:val="auto"/>
          <w:sz w:val="22"/>
          <w:szCs w:val="22"/>
        </w:rPr>
        <w:t xml:space="preserve">    23、分包不得使用国家明令淘汰、禁止使用的危及安全生产的工艺和设备。分包自带的施工机械设备、电器设备、各类设施等必须符合国家标准、规范的要求，且受力性能、机械性能良好、安全防护装置齐全、灵敏、有效。分包对自带的上述设备、设施必须建立管理制度，并进行有效管理，设备的安装、使用、检测和报废必须符合相关标准。</w:t>
      </w:r>
    </w:p>
    <w:p>
      <w:pPr>
        <w:spacing w:before="50" w:after="50" w:line="500" w:lineRule="exact"/>
        <w:ind w:left="-105" w:leftChars="-50" w:firstLine="550" w:firstLineChars="250"/>
        <w:rPr>
          <w:rFonts w:ascii="宋体" w:hAnsi="宋体" w:cs="仿宋"/>
          <w:color w:val="auto"/>
          <w:sz w:val="22"/>
          <w:szCs w:val="22"/>
        </w:rPr>
      </w:pPr>
      <w:r>
        <w:rPr>
          <w:rFonts w:hint="eastAsia" w:ascii="宋体" w:hAnsi="宋体" w:cs="仿宋"/>
          <w:color w:val="auto"/>
          <w:sz w:val="22"/>
          <w:szCs w:val="22"/>
        </w:rPr>
        <w:t>分包自带的上述物品，进场前需向总包项目部提交清单进行备案。</w:t>
      </w:r>
    </w:p>
    <w:p>
      <w:pPr>
        <w:spacing w:before="50" w:after="50" w:line="500" w:lineRule="exact"/>
        <w:ind w:left="-105" w:leftChars="-50" w:firstLine="550" w:firstLineChars="250"/>
        <w:rPr>
          <w:rFonts w:ascii="宋体" w:hAnsi="宋体" w:cs="仿宋"/>
          <w:color w:val="auto"/>
          <w:sz w:val="22"/>
          <w:szCs w:val="22"/>
        </w:rPr>
      </w:pPr>
      <w:r>
        <w:rPr>
          <w:rFonts w:hint="eastAsia" w:ascii="宋体" w:hAnsi="宋体" w:cs="仿宋"/>
          <w:color w:val="auto"/>
          <w:sz w:val="22"/>
          <w:szCs w:val="22"/>
        </w:rPr>
        <w:t>分包自带的设备设施工具存在缺陷造成的安全生产事故，由分包承担全部责任。</w:t>
      </w:r>
    </w:p>
    <w:p>
      <w:pPr>
        <w:tabs>
          <w:tab w:val="left" w:pos="540"/>
          <w:tab w:val="left" w:pos="900"/>
        </w:tabs>
        <w:spacing w:before="50" w:after="50" w:line="500" w:lineRule="exact"/>
        <w:rPr>
          <w:rFonts w:ascii="宋体" w:hAnsi="宋体" w:cs="仿宋"/>
          <w:color w:val="auto"/>
          <w:sz w:val="22"/>
          <w:szCs w:val="22"/>
        </w:rPr>
      </w:pPr>
      <w:r>
        <w:rPr>
          <w:rFonts w:hint="eastAsia" w:ascii="宋体" w:hAnsi="宋体" w:cs="仿宋"/>
          <w:color w:val="auto"/>
          <w:sz w:val="22"/>
          <w:szCs w:val="22"/>
        </w:rPr>
        <w:t xml:space="preserve">    24、分包进行爆破、吊装、土方开挖等危险作业时，必须派专门人员进行现场安全管理，确保操作规程的遵守和安全措施的落实。</w:t>
      </w:r>
    </w:p>
    <w:p>
      <w:pPr>
        <w:spacing w:before="50" w:after="50" w:line="500" w:lineRule="exact"/>
        <w:ind w:left="-105" w:leftChars="-50" w:firstLine="550" w:firstLineChars="250"/>
        <w:rPr>
          <w:rFonts w:ascii="宋体" w:hAnsi="宋体" w:cs="仿宋"/>
          <w:color w:val="auto"/>
          <w:sz w:val="22"/>
          <w:szCs w:val="22"/>
        </w:rPr>
      </w:pPr>
      <w:r>
        <w:rPr>
          <w:rFonts w:hint="eastAsia" w:ascii="宋体" w:hAnsi="宋体" w:cs="仿宋"/>
          <w:color w:val="auto"/>
          <w:sz w:val="22"/>
          <w:szCs w:val="22"/>
        </w:rPr>
        <w:t>分包进行上述作业时，现场无专人进行安全管理，发生伤亡事故，由分包承担全部责任。</w:t>
      </w:r>
    </w:p>
    <w:p>
      <w:pPr>
        <w:tabs>
          <w:tab w:val="left" w:pos="540"/>
          <w:tab w:val="left" w:pos="900"/>
        </w:tabs>
        <w:spacing w:before="50" w:after="50" w:line="500" w:lineRule="exact"/>
        <w:rPr>
          <w:rFonts w:ascii="宋体" w:hAnsi="宋体" w:cs="仿宋"/>
          <w:color w:val="auto"/>
          <w:sz w:val="22"/>
          <w:szCs w:val="22"/>
        </w:rPr>
      </w:pPr>
      <w:r>
        <w:rPr>
          <w:rFonts w:hint="eastAsia" w:ascii="宋体" w:hAnsi="宋体" w:cs="仿宋"/>
          <w:color w:val="auto"/>
          <w:sz w:val="22"/>
          <w:szCs w:val="22"/>
        </w:rPr>
        <w:t xml:space="preserve">    25、分包自带进入施工现场的氧气、乙炔、油漆、涂料等易燃、易爆危险物品，必须建立专门的安全管理制度，并设专人管理和发放，同时要书面报总包同意后，在室外设专库存放。</w:t>
      </w:r>
    </w:p>
    <w:p>
      <w:pPr>
        <w:spacing w:before="50" w:after="50" w:line="500" w:lineRule="exact"/>
        <w:ind w:left="-105" w:leftChars="-50" w:firstLine="550" w:firstLineChars="250"/>
        <w:rPr>
          <w:rFonts w:ascii="宋体" w:hAnsi="宋体" w:cs="仿宋"/>
          <w:color w:val="auto"/>
          <w:sz w:val="22"/>
          <w:szCs w:val="22"/>
        </w:rPr>
      </w:pPr>
      <w:r>
        <w:rPr>
          <w:rFonts w:hint="eastAsia" w:ascii="宋体" w:hAnsi="宋体" w:cs="仿宋"/>
          <w:color w:val="auto"/>
          <w:sz w:val="22"/>
          <w:szCs w:val="22"/>
        </w:rPr>
        <w:t>分包自带的上述物品，进场前需向总包项目部提交清单进行备案。</w:t>
      </w:r>
    </w:p>
    <w:p>
      <w:pPr>
        <w:spacing w:before="50" w:after="50" w:line="500" w:lineRule="exact"/>
        <w:ind w:firstLine="440" w:firstLineChars="200"/>
        <w:rPr>
          <w:rFonts w:ascii="宋体" w:hAnsi="宋体" w:cs="仿宋"/>
          <w:color w:val="auto"/>
          <w:sz w:val="22"/>
          <w:szCs w:val="22"/>
        </w:rPr>
      </w:pPr>
      <w:r>
        <w:rPr>
          <w:rFonts w:hint="eastAsia" w:ascii="宋体" w:hAnsi="宋体" w:cs="仿宋"/>
          <w:color w:val="auto"/>
          <w:sz w:val="22"/>
          <w:szCs w:val="22"/>
        </w:rPr>
        <w:t>分包私自使用上述物品或管理不善导致的爆炸、火灾等事故造成的伤亡事故和经济损失，由分包承担全部责任。</w:t>
      </w:r>
    </w:p>
    <w:p>
      <w:pPr>
        <w:tabs>
          <w:tab w:val="left" w:pos="540"/>
          <w:tab w:val="left" w:pos="900"/>
        </w:tabs>
        <w:spacing w:before="50" w:after="50" w:line="500" w:lineRule="exact"/>
        <w:rPr>
          <w:rFonts w:ascii="宋体" w:hAnsi="宋体" w:cs="仿宋"/>
          <w:color w:val="auto"/>
          <w:sz w:val="22"/>
          <w:szCs w:val="22"/>
        </w:rPr>
      </w:pPr>
      <w:r>
        <w:rPr>
          <w:rFonts w:hint="eastAsia" w:ascii="宋体" w:hAnsi="宋体" w:cs="仿宋"/>
          <w:color w:val="auto"/>
          <w:sz w:val="22"/>
          <w:szCs w:val="22"/>
        </w:rPr>
        <w:t xml:space="preserve">    26、分包负责采购合格、卫生的食品及配料，并保证食品加工过程的安全性，防止食物中毒等事故的发生，分包对本单位施工工人发生的食物中毒等事故承担全部责任。</w:t>
      </w:r>
    </w:p>
    <w:p>
      <w:pPr>
        <w:tabs>
          <w:tab w:val="left" w:pos="540"/>
          <w:tab w:val="left" w:pos="900"/>
        </w:tabs>
        <w:spacing w:before="50" w:after="50" w:line="500" w:lineRule="exact"/>
        <w:rPr>
          <w:rFonts w:ascii="宋体" w:hAnsi="宋体" w:cs="仿宋"/>
          <w:color w:val="auto"/>
          <w:sz w:val="22"/>
          <w:szCs w:val="22"/>
        </w:rPr>
      </w:pPr>
      <w:r>
        <w:rPr>
          <w:rFonts w:hint="eastAsia" w:ascii="宋体" w:hAnsi="宋体" w:cs="仿宋"/>
          <w:color w:val="auto"/>
          <w:sz w:val="22"/>
          <w:szCs w:val="22"/>
        </w:rPr>
        <w:t xml:space="preserve">    27、分包食堂的环境卫生及硬件设施应符合总包《食堂管理制度》的要求。应按照《食品安全法》的要求，自行办理餐饮服务许可证，食堂工作人员应持健康证上岗。如分包不按照相关法规度要求设置食堂并办理相关行政许可手续而发生食物中毒等事故的由分包承担全部责任。</w:t>
      </w:r>
    </w:p>
    <w:p>
      <w:pPr>
        <w:tabs>
          <w:tab w:val="left" w:pos="540"/>
          <w:tab w:val="left" w:pos="900"/>
        </w:tabs>
        <w:spacing w:before="50" w:after="50" w:line="500" w:lineRule="exact"/>
        <w:rPr>
          <w:rFonts w:ascii="宋体" w:hAnsi="宋体" w:cs="仿宋"/>
          <w:color w:val="auto"/>
          <w:sz w:val="22"/>
          <w:szCs w:val="22"/>
        </w:rPr>
      </w:pPr>
      <w:r>
        <w:rPr>
          <w:rFonts w:hint="eastAsia" w:ascii="宋体" w:hAnsi="宋体" w:cs="仿宋"/>
          <w:color w:val="auto"/>
          <w:sz w:val="22"/>
          <w:szCs w:val="22"/>
        </w:rPr>
        <w:t xml:space="preserve">    28、分包负责督促本单位施工工人保持生活住所的干净整洁及良好的住宿习惯，对于发生在施工工人住所的伤亡事故，由分包承担全部责任。</w:t>
      </w:r>
    </w:p>
    <w:p>
      <w:pPr>
        <w:tabs>
          <w:tab w:val="left" w:pos="540"/>
          <w:tab w:val="left" w:pos="900"/>
        </w:tabs>
        <w:spacing w:before="50" w:after="50" w:line="500" w:lineRule="exact"/>
        <w:rPr>
          <w:rFonts w:ascii="宋体" w:hAnsi="宋体" w:cs="仿宋"/>
          <w:color w:val="auto"/>
          <w:sz w:val="22"/>
          <w:szCs w:val="22"/>
        </w:rPr>
      </w:pPr>
      <w:r>
        <w:rPr>
          <w:rFonts w:hint="eastAsia" w:ascii="宋体" w:hAnsi="宋体" w:cs="仿宋"/>
          <w:color w:val="auto"/>
          <w:sz w:val="22"/>
          <w:szCs w:val="22"/>
        </w:rPr>
        <w:t xml:space="preserve">    29、分包施工人员违反总包管理规定、违反安全操作规程作业或分包管理人员违章指挥造成的伤亡事故，由分包承担全部责任；</w:t>
      </w:r>
    </w:p>
    <w:p>
      <w:pPr>
        <w:tabs>
          <w:tab w:val="left" w:pos="540"/>
          <w:tab w:val="left" w:pos="900"/>
        </w:tabs>
        <w:spacing w:before="50" w:after="50" w:line="500" w:lineRule="exact"/>
        <w:rPr>
          <w:rFonts w:ascii="宋体" w:hAnsi="宋体" w:cs="仿宋"/>
          <w:color w:val="auto"/>
          <w:sz w:val="22"/>
          <w:szCs w:val="22"/>
        </w:rPr>
      </w:pPr>
      <w:r>
        <w:rPr>
          <w:rFonts w:hint="eastAsia" w:ascii="宋体" w:hAnsi="宋体" w:cs="仿宋"/>
          <w:color w:val="auto"/>
          <w:sz w:val="22"/>
          <w:szCs w:val="22"/>
        </w:rPr>
        <w:t xml:space="preserve">    30、分包施工人员发生以下无法采取有效防护措施进行杜绝的伤亡事故时，由分包承担全部责任：</w:t>
      </w:r>
    </w:p>
    <w:p>
      <w:pPr>
        <w:spacing w:before="50" w:after="50" w:line="500" w:lineRule="exact"/>
        <w:ind w:left="-105" w:leftChars="-50" w:firstLine="550" w:firstLineChars="250"/>
        <w:rPr>
          <w:rFonts w:ascii="宋体" w:hAnsi="宋体" w:cs="仿宋"/>
          <w:color w:val="auto"/>
          <w:sz w:val="22"/>
          <w:szCs w:val="22"/>
        </w:rPr>
      </w:pPr>
      <w:r>
        <w:rPr>
          <w:rFonts w:hint="eastAsia" w:ascii="宋体" w:hAnsi="宋体" w:cs="仿宋"/>
          <w:color w:val="auto"/>
          <w:sz w:val="22"/>
          <w:szCs w:val="22"/>
        </w:rPr>
        <w:t>30.1非工作时间工人突然死亡、2米以下非高处作业发生摔倒导致伤亡、挪动大件材料发生意外伤亡等；</w:t>
      </w:r>
    </w:p>
    <w:p>
      <w:pPr>
        <w:spacing w:before="50" w:after="50" w:line="500" w:lineRule="exact"/>
        <w:ind w:left="-105" w:leftChars="-50" w:firstLine="550" w:firstLineChars="250"/>
        <w:rPr>
          <w:rFonts w:ascii="宋体" w:hAnsi="宋体" w:cs="仿宋"/>
          <w:color w:val="auto"/>
          <w:sz w:val="22"/>
          <w:szCs w:val="22"/>
        </w:rPr>
      </w:pPr>
      <w:r>
        <w:rPr>
          <w:rFonts w:hint="eastAsia" w:ascii="宋体" w:hAnsi="宋体" w:cs="仿宋"/>
          <w:color w:val="auto"/>
          <w:sz w:val="22"/>
          <w:szCs w:val="22"/>
        </w:rPr>
        <w:t>30.2高处作业人员系挂安全带，但在摘带移动作业位置时发生伤亡事故的；</w:t>
      </w:r>
    </w:p>
    <w:p>
      <w:pPr>
        <w:spacing w:before="50" w:after="50" w:line="500" w:lineRule="exact"/>
        <w:ind w:left="-105" w:leftChars="-50" w:firstLine="550" w:firstLineChars="250"/>
        <w:rPr>
          <w:rFonts w:ascii="宋体" w:hAnsi="宋体" w:cs="仿宋"/>
          <w:color w:val="auto"/>
          <w:sz w:val="22"/>
          <w:szCs w:val="22"/>
        </w:rPr>
      </w:pPr>
      <w:r>
        <w:rPr>
          <w:rFonts w:hint="eastAsia" w:ascii="宋体" w:hAnsi="宋体" w:cs="仿宋"/>
          <w:color w:val="auto"/>
          <w:sz w:val="22"/>
          <w:szCs w:val="22"/>
        </w:rPr>
        <w:t>30.3在现场或生活区吸烟，动用电气焊、明火而发生的火灾事故导致伤亡事故的；</w:t>
      </w:r>
    </w:p>
    <w:p>
      <w:pPr>
        <w:spacing w:before="50" w:after="50" w:line="500" w:lineRule="exact"/>
        <w:ind w:left="-105" w:leftChars="-50" w:firstLine="550" w:firstLineChars="250"/>
        <w:rPr>
          <w:rFonts w:ascii="宋体" w:hAnsi="宋体" w:cs="仿宋"/>
          <w:color w:val="auto"/>
          <w:sz w:val="22"/>
          <w:szCs w:val="22"/>
        </w:rPr>
      </w:pPr>
      <w:r>
        <w:rPr>
          <w:rFonts w:hint="eastAsia" w:ascii="宋体" w:hAnsi="宋体" w:cs="仿宋"/>
          <w:color w:val="auto"/>
          <w:sz w:val="22"/>
          <w:szCs w:val="22"/>
        </w:rPr>
        <w:t>30.4从防护拆除处摔落造成的生产安全事故的；</w:t>
      </w:r>
    </w:p>
    <w:p>
      <w:pPr>
        <w:spacing w:before="50" w:after="50" w:line="500" w:lineRule="exact"/>
        <w:ind w:firstLine="440" w:firstLineChars="200"/>
        <w:rPr>
          <w:rFonts w:ascii="宋体" w:hAnsi="宋体" w:cs="仿宋"/>
          <w:color w:val="auto"/>
          <w:sz w:val="22"/>
          <w:szCs w:val="22"/>
        </w:rPr>
      </w:pPr>
      <w:r>
        <w:rPr>
          <w:rFonts w:hint="eastAsia" w:ascii="宋体" w:hAnsi="宋体" w:cs="仿宋"/>
          <w:color w:val="auto"/>
          <w:sz w:val="22"/>
          <w:szCs w:val="22"/>
        </w:rPr>
        <w:t>30.5专职持证上岗电工接用电作业导致生产安全事故的；</w:t>
      </w:r>
    </w:p>
    <w:p>
      <w:pPr>
        <w:spacing w:before="50" w:after="50" w:line="500" w:lineRule="exact"/>
        <w:ind w:firstLine="440" w:firstLineChars="200"/>
        <w:rPr>
          <w:rFonts w:ascii="宋体" w:hAnsi="宋体" w:cs="仿宋"/>
          <w:color w:val="auto"/>
          <w:sz w:val="22"/>
          <w:szCs w:val="22"/>
        </w:rPr>
      </w:pPr>
      <w:r>
        <w:rPr>
          <w:rFonts w:hint="eastAsia" w:ascii="宋体" w:hAnsi="宋体" w:cs="仿宋"/>
          <w:color w:val="auto"/>
          <w:sz w:val="22"/>
          <w:szCs w:val="22"/>
        </w:rPr>
        <w:t>30.6违规在办公室或宿舍使用电炉、电暖气、电热棒等高耗能电器而导致发生生产安全事故的；</w:t>
      </w:r>
    </w:p>
    <w:p>
      <w:pPr>
        <w:spacing w:before="50" w:after="50" w:line="500" w:lineRule="exact"/>
        <w:ind w:firstLine="440" w:firstLineChars="200"/>
        <w:rPr>
          <w:rFonts w:ascii="宋体" w:hAnsi="宋体" w:cs="仿宋"/>
          <w:color w:val="auto"/>
          <w:sz w:val="22"/>
          <w:szCs w:val="22"/>
        </w:rPr>
      </w:pPr>
      <w:r>
        <w:rPr>
          <w:rFonts w:hint="eastAsia" w:ascii="宋体" w:hAnsi="宋体" w:cs="仿宋"/>
          <w:color w:val="auto"/>
          <w:sz w:val="22"/>
          <w:szCs w:val="22"/>
        </w:rPr>
        <w:t>30.7违规在非指定配电箱接用电，导致生产安全事故的；</w:t>
      </w:r>
    </w:p>
    <w:p>
      <w:pPr>
        <w:spacing w:before="50" w:after="50" w:line="500" w:lineRule="exact"/>
        <w:ind w:firstLine="440" w:firstLineChars="200"/>
        <w:rPr>
          <w:rFonts w:ascii="宋体" w:hAnsi="宋体" w:cs="仿宋"/>
          <w:color w:val="auto"/>
          <w:sz w:val="22"/>
          <w:szCs w:val="22"/>
        </w:rPr>
      </w:pPr>
      <w:r>
        <w:rPr>
          <w:rFonts w:hint="eastAsia" w:ascii="宋体" w:hAnsi="宋体" w:cs="仿宋"/>
          <w:color w:val="auto"/>
          <w:sz w:val="22"/>
          <w:szCs w:val="22"/>
        </w:rPr>
        <w:t>30.8违反临时用电规范接用电，导致生产安全事故的。</w:t>
      </w:r>
    </w:p>
    <w:p>
      <w:pPr>
        <w:tabs>
          <w:tab w:val="left" w:pos="540"/>
          <w:tab w:val="left" w:pos="900"/>
        </w:tabs>
        <w:spacing w:before="50" w:after="50" w:line="500" w:lineRule="exact"/>
        <w:rPr>
          <w:rFonts w:ascii="宋体" w:hAnsi="宋体" w:cs="仿宋"/>
          <w:color w:val="auto"/>
          <w:sz w:val="22"/>
          <w:szCs w:val="22"/>
        </w:rPr>
      </w:pPr>
      <w:r>
        <w:rPr>
          <w:rFonts w:hint="eastAsia" w:ascii="宋体" w:hAnsi="宋体" w:cs="仿宋"/>
          <w:color w:val="auto"/>
          <w:sz w:val="22"/>
          <w:szCs w:val="22"/>
        </w:rPr>
        <w:t xml:space="preserve">    31、分包在非允许施工时间内施工，发生伤亡事故时，由分包承担全部责任。</w:t>
      </w:r>
    </w:p>
    <w:p>
      <w:pPr>
        <w:tabs>
          <w:tab w:val="left" w:pos="540"/>
          <w:tab w:val="left" w:pos="900"/>
        </w:tabs>
        <w:spacing w:before="50" w:after="50" w:line="500" w:lineRule="exact"/>
        <w:rPr>
          <w:rFonts w:ascii="宋体" w:hAnsi="宋体" w:cs="仿宋"/>
          <w:color w:val="auto"/>
          <w:sz w:val="22"/>
          <w:szCs w:val="22"/>
        </w:rPr>
      </w:pPr>
      <w:r>
        <w:rPr>
          <w:rFonts w:hint="eastAsia" w:ascii="宋体" w:hAnsi="宋体" w:cs="仿宋"/>
          <w:color w:val="auto"/>
          <w:sz w:val="22"/>
          <w:szCs w:val="22"/>
        </w:rPr>
        <w:t xml:space="preserve">    32、分包施工人员在施工现场外，生活区外发生的违反治安管理规定、违法行为造成的后果，由分包承担全部责任。</w:t>
      </w:r>
    </w:p>
    <w:p>
      <w:pPr>
        <w:tabs>
          <w:tab w:val="left" w:pos="540"/>
          <w:tab w:val="left" w:pos="900"/>
        </w:tabs>
        <w:spacing w:before="50" w:after="50" w:line="500" w:lineRule="exact"/>
        <w:rPr>
          <w:rFonts w:ascii="宋体" w:hAnsi="宋体" w:cs="仿宋"/>
          <w:color w:val="auto"/>
          <w:sz w:val="22"/>
          <w:szCs w:val="22"/>
        </w:rPr>
      </w:pPr>
      <w:r>
        <w:rPr>
          <w:rFonts w:hint="eastAsia" w:ascii="宋体" w:hAnsi="宋体" w:cs="仿宋"/>
          <w:color w:val="auto"/>
          <w:sz w:val="22"/>
          <w:szCs w:val="22"/>
        </w:rPr>
        <w:t xml:space="preserve">    33、分包负责救治因安全生产事故导致受伤的本单位人员，并承担相应的赔偿责任，自行处理并办结本单位人员的安全生产事故。</w:t>
      </w:r>
    </w:p>
    <w:p>
      <w:pPr>
        <w:tabs>
          <w:tab w:val="left" w:pos="540"/>
          <w:tab w:val="left" w:pos="900"/>
        </w:tabs>
        <w:spacing w:before="50" w:after="50" w:line="500" w:lineRule="exact"/>
        <w:rPr>
          <w:rFonts w:ascii="宋体" w:hAnsi="宋体" w:cs="仿宋"/>
          <w:color w:val="auto"/>
          <w:sz w:val="22"/>
          <w:szCs w:val="22"/>
        </w:rPr>
      </w:pPr>
      <w:r>
        <w:rPr>
          <w:rFonts w:hint="eastAsia" w:ascii="宋体" w:hAnsi="宋体" w:cs="仿宋"/>
          <w:color w:val="auto"/>
          <w:sz w:val="22"/>
          <w:szCs w:val="22"/>
        </w:rPr>
        <w:t xml:space="preserve">    34、分包负责救治因本单位原因导致发生安全生产伤亡事故受伤害的第三方人员，并根据责任划分承担相应的赔偿责任，自行处理并办结第三方人员的安全生产事故。</w:t>
      </w:r>
    </w:p>
    <w:p>
      <w:pPr>
        <w:tabs>
          <w:tab w:val="left" w:pos="540"/>
          <w:tab w:val="left" w:pos="900"/>
        </w:tabs>
        <w:spacing w:before="50" w:after="50" w:line="500" w:lineRule="exact"/>
        <w:rPr>
          <w:rFonts w:ascii="宋体" w:hAnsi="宋体" w:cs="仿宋"/>
          <w:color w:val="auto"/>
          <w:sz w:val="22"/>
          <w:szCs w:val="22"/>
        </w:rPr>
      </w:pPr>
      <w:r>
        <w:rPr>
          <w:rFonts w:hint="eastAsia" w:ascii="宋体" w:hAnsi="宋体" w:cs="仿宋"/>
          <w:color w:val="auto"/>
          <w:sz w:val="22"/>
          <w:szCs w:val="22"/>
        </w:rPr>
        <w:t xml:space="preserve">    35、因分包全部责任或主要责任而导致发生安全生产事故的，其经济损失由分包全部承担，并由分包具体负责事故的善后处理工作。</w:t>
      </w:r>
    </w:p>
    <w:p>
      <w:pPr>
        <w:tabs>
          <w:tab w:val="left" w:pos="540"/>
          <w:tab w:val="left" w:pos="900"/>
        </w:tabs>
        <w:spacing w:before="50" w:after="50" w:line="500" w:lineRule="exact"/>
        <w:ind w:firstLine="495"/>
        <w:rPr>
          <w:rFonts w:ascii="宋体" w:hAnsi="宋体" w:cs="仿宋"/>
          <w:color w:val="auto"/>
          <w:sz w:val="22"/>
          <w:szCs w:val="22"/>
        </w:rPr>
      </w:pPr>
      <w:r>
        <w:rPr>
          <w:rFonts w:hint="eastAsia" w:ascii="宋体" w:hAnsi="宋体" w:cs="仿宋"/>
          <w:color w:val="auto"/>
          <w:sz w:val="22"/>
          <w:szCs w:val="22"/>
        </w:rPr>
        <w:t>36、分包必须服从其他法律法规要求应承担的安全责任。</w:t>
      </w:r>
    </w:p>
    <w:p>
      <w:pPr>
        <w:spacing w:line="500" w:lineRule="exact"/>
        <w:ind w:firstLine="442" w:firstLineChars="200"/>
        <w:rPr>
          <w:rFonts w:ascii="宋体" w:hAnsi="宋体"/>
          <w:b/>
          <w:color w:val="auto"/>
          <w:sz w:val="22"/>
          <w:szCs w:val="22"/>
        </w:rPr>
      </w:pPr>
      <w:r>
        <w:rPr>
          <w:rFonts w:hint="eastAsia" w:ascii="宋体" w:hAnsi="宋体"/>
          <w:b/>
          <w:bCs/>
          <w:color w:val="auto"/>
          <w:sz w:val="22"/>
          <w:szCs w:val="22"/>
        </w:rPr>
        <w:t>第六条</w:t>
      </w:r>
      <w:r>
        <w:rPr>
          <w:rFonts w:hint="eastAsia" w:ascii="宋体" w:hAnsi="宋体"/>
          <w:color w:val="auto"/>
          <w:sz w:val="22"/>
          <w:szCs w:val="22"/>
        </w:rPr>
        <w:t xml:space="preserve">  补充条款</w:t>
      </w:r>
      <w:r>
        <w:rPr>
          <w:rFonts w:hint="eastAsia" w:ascii="宋体" w:hAnsi="宋体" w:cs="仿宋"/>
          <w:b/>
          <w:color w:val="auto"/>
          <w:sz w:val="22"/>
          <w:szCs w:val="22"/>
        </w:rPr>
        <w:t xml:space="preserve">  </w:t>
      </w:r>
    </w:p>
    <w:p>
      <w:pPr>
        <w:spacing w:line="500" w:lineRule="exact"/>
        <w:ind w:firstLine="440" w:firstLineChars="200"/>
        <w:rPr>
          <w:rFonts w:ascii="宋体" w:hAnsi="宋体"/>
          <w:color w:val="auto"/>
          <w:sz w:val="22"/>
          <w:szCs w:val="22"/>
          <w:u w:val="single"/>
        </w:rPr>
      </w:pPr>
      <w:r>
        <w:rPr>
          <w:rFonts w:hint="eastAsia" w:ascii="宋体" w:hAnsi="宋体"/>
          <w:color w:val="auto"/>
          <w:sz w:val="22"/>
          <w:szCs w:val="22"/>
        </w:rPr>
        <w:t>1、合同工期完成或因其它原因造成的退场，乙方应自己协调好所属施工人员的撤场问题，禁止发生围堵甲方或政府职能部门的办公场所；对存在的问题产生异议，由甲、乙双方管理层领导共同协商解决。否则，造成不良影响及后果，由乙方承担。</w:t>
      </w:r>
    </w:p>
    <w:p>
      <w:pPr>
        <w:spacing w:line="500" w:lineRule="exact"/>
        <w:ind w:firstLine="440" w:firstLineChars="200"/>
        <w:rPr>
          <w:rFonts w:ascii="宋体" w:hAnsi="宋体"/>
          <w:color w:val="auto"/>
          <w:sz w:val="22"/>
          <w:szCs w:val="22"/>
          <w:u w:val="single"/>
        </w:rPr>
      </w:pPr>
      <w:r>
        <w:rPr>
          <w:rFonts w:hint="eastAsia" w:ascii="宋体" w:hAnsi="宋体"/>
          <w:color w:val="auto"/>
          <w:sz w:val="22"/>
          <w:szCs w:val="22"/>
        </w:rPr>
        <w:t>2、本协议中经济损失是指包括但不限于依据《工伤保险条例》规定赔付的各项工伤赔偿费用、处理事故善后事宜的相关费用、事故中损坏的各项设备设施及对第三方受害人的赔偿费用、政府部门的行政罚款、非责任方因事故停工的损失以及因停工导致的窝工损失等。</w:t>
      </w:r>
    </w:p>
    <w:p>
      <w:pPr>
        <w:spacing w:line="500" w:lineRule="exact"/>
        <w:ind w:firstLine="440" w:firstLineChars="200"/>
        <w:rPr>
          <w:rFonts w:ascii="宋体" w:hAnsi="宋体"/>
          <w:color w:val="auto"/>
          <w:sz w:val="22"/>
          <w:szCs w:val="22"/>
          <w:u w:val="single"/>
        </w:rPr>
      </w:pPr>
      <w:r>
        <w:rPr>
          <w:rFonts w:hint="eastAsia" w:ascii="宋体" w:hAnsi="宋体"/>
          <w:color w:val="auto"/>
          <w:sz w:val="22"/>
          <w:szCs w:val="22"/>
        </w:rPr>
        <w:t>3、其他：</w:t>
      </w:r>
      <w:r>
        <w:rPr>
          <w:rFonts w:hint="eastAsia" w:ascii="宋体" w:hAnsi="宋体"/>
          <w:color w:val="auto"/>
          <w:sz w:val="22"/>
          <w:szCs w:val="22"/>
          <w:u w:val="single"/>
        </w:rPr>
        <w:t xml:space="preserve">      /      </w:t>
      </w:r>
    </w:p>
    <w:p>
      <w:pPr>
        <w:tabs>
          <w:tab w:val="left" w:pos="360"/>
          <w:tab w:val="left" w:pos="540"/>
          <w:tab w:val="left" w:pos="900"/>
          <w:tab w:val="left" w:pos="1080"/>
        </w:tabs>
        <w:spacing w:before="50" w:after="50" w:line="500" w:lineRule="exact"/>
        <w:ind w:firstLine="440" w:firstLineChars="200"/>
        <w:rPr>
          <w:rFonts w:ascii="宋体" w:hAnsi="宋体" w:cs="仿宋"/>
          <w:color w:val="auto"/>
          <w:sz w:val="22"/>
          <w:szCs w:val="22"/>
        </w:rPr>
      </w:pPr>
      <w:r>
        <w:rPr>
          <w:rFonts w:hint="eastAsia" w:ascii="宋体" w:hAnsi="宋体" w:cs="仿宋"/>
          <w:color w:val="auto"/>
          <w:sz w:val="22"/>
          <w:szCs w:val="22"/>
        </w:rPr>
        <w:t>4、本协议作为双方工程合同的补充，与工程合同具备同样法律效力，协议内容如有和国家、地方的有关法律法规规章不符者，按国家和地方的有关规定执行。</w:t>
      </w:r>
    </w:p>
    <w:p>
      <w:pPr>
        <w:tabs>
          <w:tab w:val="left" w:pos="360"/>
          <w:tab w:val="left" w:pos="540"/>
          <w:tab w:val="left" w:pos="900"/>
          <w:tab w:val="left" w:pos="1080"/>
        </w:tabs>
        <w:spacing w:before="50" w:after="50" w:line="500" w:lineRule="exact"/>
        <w:rPr>
          <w:rFonts w:ascii="宋体" w:hAnsi="宋体" w:cs="仿宋"/>
          <w:color w:val="auto"/>
          <w:sz w:val="22"/>
          <w:szCs w:val="22"/>
        </w:rPr>
      </w:pPr>
      <w:r>
        <w:rPr>
          <w:rFonts w:hint="eastAsia" w:ascii="宋体" w:hAnsi="宋体" w:cs="仿宋"/>
          <w:color w:val="auto"/>
          <w:sz w:val="22"/>
          <w:szCs w:val="22"/>
        </w:rPr>
        <w:t xml:space="preserve">    5、本协议一经签订，双方必须共同遵守，施工现场发生施工人员伤亡事故时，本协议作为区分双方责任的主要文件，协议未阐明的事项，由双方按照法律法规的规定解决。</w:t>
      </w:r>
    </w:p>
    <w:p>
      <w:pPr>
        <w:tabs>
          <w:tab w:val="left" w:pos="360"/>
          <w:tab w:val="left" w:pos="540"/>
          <w:tab w:val="left" w:pos="900"/>
          <w:tab w:val="left" w:pos="1080"/>
        </w:tabs>
        <w:spacing w:before="50" w:after="50" w:line="500" w:lineRule="exact"/>
        <w:ind w:firstLine="420"/>
        <w:rPr>
          <w:rFonts w:ascii="宋体" w:hAnsi="宋体" w:cs="仿宋"/>
          <w:b/>
          <w:color w:val="auto"/>
          <w:sz w:val="22"/>
          <w:szCs w:val="22"/>
        </w:rPr>
      </w:pPr>
      <w:r>
        <w:rPr>
          <w:rFonts w:hint="eastAsia" w:ascii="宋体" w:hAnsi="宋体" w:cs="仿宋"/>
          <w:color w:val="auto"/>
          <w:sz w:val="22"/>
          <w:szCs w:val="22"/>
        </w:rPr>
        <w:t>6、本协议经双方单位盖章和负责人签字后生效，有效期自签订之日至合同任务结束。</w:t>
      </w:r>
      <w:r>
        <w:rPr>
          <w:rFonts w:hint="eastAsia" w:ascii="宋体" w:hAnsi="宋体" w:cs="仿宋"/>
          <w:b/>
          <w:color w:val="auto"/>
          <w:sz w:val="22"/>
          <w:szCs w:val="22"/>
        </w:rPr>
        <w:t>本协议一式伍份，甲方执肆份，乙方执壹份</w:t>
      </w:r>
    </w:p>
    <w:p>
      <w:pPr>
        <w:tabs>
          <w:tab w:val="left" w:pos="360"/>
          <w:tab w:val="left" w:pos="540"/>
          <w:tab w:val="left" w:pos="900"/>
          <w:tab w:val="left" w:pos="1080"/>
        </w:tabs>
        <w:spacing w:before="50" w:after="50" w:line="500" w:lineRule="exact"/>
        <w:ind w:firstLine="420"/>
        <w:rPr>
          <w:rFonts w:ascii="宋体" w:hAnsi="宋体" w:cs="仿宋"/>
          <w:b/>
          <w:color w:val="auto"/>
          <w:sz w:val="22"/>
          <w:szCs w:val="22"/>
        </w:rPr>
      </w:pPr>
    </w:p>
    <w:p>
      <w:pPr>
        <w:tabs>
          <w:tab w:val="left" w:pos="360"/>
          <w:tab w:val="left" w:pos="540"/>
          <w:tab w:val="left" w:pos="900"/>
          <w:tab w:val="left" w:pos="1080"/>
        </w:tabs>
        <w:spacing w:before="50" w:after="50" w:line="500" w:lineRule="exact"/>
        <w:ind w:firstLine="420"/>
        <w:rPr>
          <w:rFonts w:ascii="宋体" w:hAnsi="宋体" w:cs="仿宋"/>
          <w:b/>
          <w:color w:val="auto"/>
          <w:sz w:val="22"/>
          <w:szCs w:val="22"/>
        </w:rPr>
      </w:pPr>
    </w:p>
    <w:p>
      <w:pPr>
        <w:tabs>
          <w:tab w:val="left" w:pos="360"/>
          <w:tab w:val="left" w:pos="540"/>
          <w:tab w:val="left" w:pos="900"/>
          <w:tab w:val="left" w:pos="1080"/>
        </w:tabs>
        <w:spacing w:before="50" w:after="50" w:line="500" w:lineRule="exact"/>
        <w:ind w:firstLine="420"/>
        <w:rPr>
          <w:rFonts w:ascii="宋体" w:hAnsi="宋体" w:cs="仿宋"/>
          <w:b/>
          <w:color w:val="auto"/>
          <w:sz w:val="22"/>
          <w:szCs w:val="22"/>
        </w:rPr>
      </w:pPr>
    </w:p>
    <w:p>
      <w:pPr>
        <w:tabs>
          <w:tab w:val="left" w:pos="360"/>
          <w:tab w:val="left" w:pos="540"/>
          <w:tab w:val="left" w:pos="900"/>
          <w:tab w:val="left" w:pos="1080"/>
        </w:tabs>
        <w:spacing w:before="50" w:after="50" w:line="500" w:lineRule="exact"/>
        <w:ind w:firstLine="420"/>
        <w:rPr>
          <w:rFonts w:hint="eastAsia" w:ascii="宋体" w:hAnsi="宋体"/>
          <w:color w:val="auto"/>
          <w:sz w:val="22"/>
          <w:szCs w:val="22"/>
        </w:rPr>
      </w:pPr>
    </w:p>
    <w:p>
      <w:pPr>
        <w:rPr>
          <w:rFonts w:ascii="宋体" w:hAnsi="宋体"/>
          <w:color w:val="auto"/>
          <w:sz w:val="22"/>
          <w:szCs w:val="22"/>
        </w:rPr>
      </w:pPr>
      <w:r>
        <w:rPr>
          <w:rFonts w:hint="eastAsia" w:ascii="宋体" w:hAnsi="宋体"/>
          <w:color w:val="auto"/>
          <w:sz w:val="22"/>
          <w:szCs w:val="22"/>
        </w:rPr>
        <w:t>甲 方：（签章）                           乙 方：（签章）</w:t>
      </w:r>
    </w:p>
    <w:p>
      <w:pPr>
        <w:ind w:firstLine="550" w:firstLineChars="250"/>
        <w:rPr>
          <w:rFonts w:ascii="宋体" w:hAnsi="宋体"/>
          <w:color w:val="auto"/>
          <w:sz w:val="22"/>
          <w:szCs w:val="22"/>
        </w:rPr>
      </w:pPr>
    </w:p>
    <w:p>
      <w:pPr>
        <w:ind w:firstLine="550" w:firstLineChars="250"/>
        <w:rPr>
          <w:rFonts w:ascii="宋体" w:hAnsi="宋体"/>
          <w:color w:val="auto"/>
          <w:sz w:val="22"/>
          <w:szCs w:val="22"/>
        </w:rPr>
      </w:pPr>
    </w:p>
    <w:p>
      <w:pPr>
        <w:rPr>
          <w:rFonts w:ascii="宋体" w:hAnsi="宋体"/>
          <w:color w:val="auto"/>
          <w:sz w:val="22"/>
          <w:szCs w:val="22"/>
          <w:u w:val="single"/>
        </w:rPr>
      </w:pPr>
      <w:r>
        <w:rPr>
          <w:rFonts w:hint="eastAsia"/>
          <w:color w:val="auto"/>
          <w:sz w:val="22"/>
          <w:szCs w:val="22"/>
        </w:rPr>
        <w:t>法定代表人</w:t>
      </w:r>
      <w:r>
        <w:rPr>
          <w:rFonts w:hint="eastAsia" w:ascii="宋体" w:hAnsi="宋体"/>
          <w:color w:val="auto"/>
          <w:sz w:val="22"/>
          <w:szCs w:val="22"/>
        </w:rPr>
        <w:t>（或授权代表）</w:t>
      </w:r>
      <w:r>
        <w:rPr>
          <w:rFonts w:hint="eastAsia"/>
          <w:color w:val="auto"/>
          <w:sz w:val="22"/>
          <w:szCs w:val="22"/>
        </w:rPr>
        <w:t>：</w:t>
      </w:r>
      <w:r>
        <w:rPr>
          <w:rFonts w:hint="eastAsia" w:ascii="宋体" w:hAnsi="宋体"/>
          <w:color w:val="auto"/>
          <w:sz w:val="22"/>
          <w:szCs w:val="22"/>
          <w:u w:val="single"/>
        </w:rPr>
        <w:t xml:space="preserve">             </w:t>
      </w:r>
      <w:r>
        <w:rPr>
          <w:rFonts w:hint="eastAsia" w:ascii="宋体" w:hAnsi="宋体"/>
          <w:color w:val="auto"/>
          <w:sz w:val="22"/>
          <w:szCs w:val="22"/>
        </w:rPr>
        <w:t xml:space="preserve">   </w:t>
      </w:r>
      <w:r>
        <w:rPr>
          <w:rFonts w:hint="eastAsia"/>
          <w:color w:val="auto"/>
          <w:sz w:val="22"/>
          <w:szCs w:val="22"/>
        </w:rPr>
        <w:t>法定代表人</w:t>
      </w:r>
      <w:r>
        <w:rPr>
          <w:rFonts w:hint="eastAsia" w:ascii="宋体" w:hAnsi="宋体"/>
          <w:color w:val="auto"/>
          <w:sz w:val="22"/>
          <w:szCs w:val="22"/>
        </w:rPr>
        <w:t>（或授权代表）</w:t>
      </w:r>
      <w:r>
        <w:rPr>
          <w:rFonts w:hint="eastAsia"/>
          <w:color w:val="auto"/>
          <w:sz w:val="22"/>
          <w:szCs w:val="22"/>
        </w:rPr>
        <w:t>：</w:t>
      </w:r>
      <w:r>
        <w:rPr>
          <w:rFonts w:hint="eastAsia" w:ascii="宋体" w:hAnsi="宋体"/>
          <w:color w:val="auto"/>
          <w:sz w:val="22"/>
          <w:szCs w:val="22"/>
          <w:u w:val="single"/>
        </w:rPr>
        <w:t xml:space="preserve">             </w:t>
      </w:r>
    </w:p>
    <w:p>
      <w:pPr>
        <w:rPr>
          <w:rFonts w:ascii="宋体" w:hAnsi="宋体"/>
          <w:color w:val="auto"/>
          <w:sz w:val="22"/>
          <w:szCs w:val="22"/>
        </w:rPr>
      </w:pPr>
    </w:p>
    <w:p>
      <w:pPr>
        <w:rPr>
          <w:rFonts w:ascii="宋体" w:hAnsi="宋体"/>
          <w:color w:val="auto"/>
          <w:sz w:val="22"/>
          <w:szCs w:val="22"/>
        </w:rPr>
      </w:pPr>
      <w:r>
        <w:rPr>
          <w:rFonts w:hint="eastAsia" w:ascii="宋体" w:hAnsi="宋体"/>
          <w:color w:val="auto"/>
          <w:sz w:val="22"/>
          <w:szCs w:val="22"/>
        </w:rPr>
        <w:t xml:space="preserve">      年   月  日                                 年   月  日</w:t>
      </w:r>
    </w:p>
    <w:p>
      <w:pPr>
        <w:jc w:val="left"/>
        <w:rPr>
          <w:rFonts w:eastAsia="黑体"/>
          <w:color w:val="auto"/>
          <w:sz w:val="28"/>
          <w:szCs w:val="28"/>
        </w:rPr>
      </w:pPr>
      <w:r>
        <w:rPr>
          <w:rFonts w:ascii="宋体" w:hAnsi="宋体"/>
          <w:color w:val="auto"/>
          <w:sz w:val="22"/>
          <w:szCs w:val="22"/>
        </w:rPr>
        <w:br w:type="page"/>
      </w:r>
      <w:r>
        <w:rPr>
          <w:rFonts w:eastAsia="黑体"/>
          <w:color w:val="auto"/>
          <w:sz w:val="28"/>
          <w:szCs w:val="28"/>
        </w:rPr>
        <w:t>附件</w:t>
      </w:r>
      <w:r>
        <w:rPr>
          <w:rFonts w:hint="eastAsia" w:eastAsia="黑体"/>
          <w:color w:val="auto"/>
          <w:sz w:val="28"/>
          <w:szCs w:val="28"/>
        </w:rPr>
        <w:t>五、专业分包绿色施工安全防护措施费工作内容</w:t>
      </w:r>
    </w:p>
    <w:tbl>
      <w:tblPr>
        <w:tblStyle w:val="15"/>
        <w:tblW w:w="9640"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598"/>
        <w:gridCol w:w="1316"/>
        <w:gridCol w:w="70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509" w:hRule="atLeast"/>
        </w:trPr>
        <w:tc>
          <w:tcPr>
            <w:tcW w:w="710" w:type="dxa"/>
            <w:noWrap/>
            <w:vAlign w:val="center"/>
          </w:tcPr>
          <w:p>
            <w:pPr>
              <w:jc w:val="center"/>
              <w:rPr>
                <w:rFonts w:ascii="宋体" w:hAnsi="宋体" w:cs="仿宋"/>
                <w:color w:val="auto"/>
                <w:sz w:val="22"/>
                <w:szCs w:val="22"/>
              </w:rPr>
            </w:pPr>
            <w:r>
              <w:rPr>
                <w:rFonts w:hint="eastAsia" w:ascii="宋体" w:hAnsi="宋体" w:cs="仿宋"/>
                <w:color w:val="auto"/>
                <w:sz w:val="22"/>
                <w:szCs w:val="22"/>
              </w:rPr>
              <w:t>类别</w:t>
            </w:r>
          </w:p>
        </w:tc>
        <w:tc>
          <w:tcPr>
            <w:tcW w:w="1914" w:type="dxa"/>
            <w:gridSpan w:val="2"/>
            <w:noWrap/>
            <w:vAlign w:val="center"/>
          </w:tcPr>
          <w:p>
            <w:pPr>
              <w:jc w:val="center"/>
              <w:rPr>
                <w:rFonts w:ascii="宋体" w:hAnsi="宋体" w:cs="仿宋"/>
                <w:color w:val="auto"/>
                <w:sz w:val="22"/>
                <w:szCs w:val="22"/>
              </w:rPr>
            </w:pPr>
            <w:r>
              <w:rPr>
                <w:rFonts w:hint="eastAsia" w:ascii="宋体" w:hAnsi="宋体" w:cs="仿宋"/>
                <w:color w:val="auto"/>
                <w:sz w:val="22"/>
                <w:szCs w:val="22"/>
              </w:rPr>
              <w:t>项目名称</w:t>
            </w:r>
          </w:p>
        </w:tc>
        <w:tc>
          <w:tcPr>
            <w:tcW w:w="7016" w:type="dxa"/>
            <w:noWrap w:val="0"/>
            <w:vAlign w:val="center"/>
          </w:tcPr>
          <w:p>
            <w:pPr>
              <w:jc w:val="center"/>
              <w:rPr>
                <w:rFonts w:ascii="宋体" w:hAnsi="宋体" w:cs="仿宋"/>
                <w:color w:val="auto"/>
                <w:sz w:val="22"/>
                <w:szCs w:val="22"/>
              </w:rPr>
            </w:pPr>
            <w:r>
              <w:rPr>
                <w:rFonts w:hint="eastAsia" w:ascii="宋体" w:hAnsi="宋体" w:cs="仿宋"/>
                <w:color w:val="auto"/>
                <w:sz w:val="22"/>
                <w:szCs w:val="22"/>
              </w:rPr>
              <w:t>具体要求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582" w:hRule="atLeast"/>
        </w:trPr>
        <w:tc>
          <w:tcPr>
            <w:tcW w:w="710" w:type="dxa"/>
            <w:noWrap/>
            <w:vAlign w:val="top"/>
          </w:tcPr>
          <w:p>
            <w:pPr>
              <w:jc w:val="left"/>
              <w:rPr>
                <w:rFonts w:ascii="宋体" w:hAnsi="宋体" w:cs="仿宋"/>
                <w:color w:val="auto"/>
                <w:sz w:val="22"/>
                <w:szCs w:val="22"/>
              </w:rPr>
            </w:pPr>
            <w:r>
              <w:rPr>
                <w:rFonts w:hint="eastAsia" w:ascii="宋体" w:hAnsi="宋体" w:cs="仿宋"/>
                <w:color w:val="auto"/>
                <w:sz w:val="22"/>
                <w:szCs w:val="22"/>
              </w:rPr>
              <w:t>范围</w:t>
            </w:r>
          </w:p>
        </w:tc>
        <w:tc>
          <w:tcPr>
            <w:tcW w:w="1914" w:type="dxa"/>
            <w:gridSpan w:val="2"/>
            <w:noWrap/>
            <w:vAlign w:val="top"/>
          </w:tcPr>
          <w:p>
            <w:pPr>
              <w:jc w:val="left"/>
              <w:rPr>
                <w:rFonts w:ascii="宋体" w:hAnsi="宋体" w:cs="仿宋"/>
                <w:color w:val="auto"/>
                <w:sz w:val="22"/>
                <w:szCs w:val="22"/>
              </w:rPr>
            </w:pPr>
            <w:r>
              <w:rPr>
                <w:rFonts w:hint="eastAsia" w:ascii="宋体" w:hAnsi="宋体" w:cs="仿宋"/>
                <w:color w:val="auto"/>
                <w:sz w:val="22"/>
                <w:szCs w:val="22"/>
              </w:rPr>
              <w:t>空间范围</w:t>
            </w:r>
          </w:p>
        </w:tc>
        <w:tc>
          <w:tcPr>
            <w:tcW w:w="7016" w:type="dxa"/>
            <w:noWrap w:val="0"/>
            <w:vAlign w:val="top"/>
          </w:tcPr>
          <w:p>
            <w:pPr>
              <w:jc w:val="left"/>
              <w:rPr>
                <w:rFonts w:ascii="宋体" w:hAnsi="宋体" w:cs="仿宋"/>
                <w:color w:val="auto"/>
                <w:sz w:val="22"/>
                <w:szCs w:val="22"/>
              </w:rPr>
            </w:pPr>
            <w:r>
              <w:rPr>
                <w:rFonts w:hint="eastAsia" w:ascii="宋体" w:hAnsi="宋体" w:cs="仿宋"/>
                <w:color w:val="auto"/>
                <w:sz w:val="22"/>
                <w:szCs w:val="22"/>
              </w:rPr>
              <w:t>红线范围内全部绿色施工安全防护相关维护，完成分包范围相关的安全文明施工。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582" w:hRule="atLeast"/>
        </w:trPr>
        <w:tc>
          <w:tcPr>
            <w:tcW w:w="710" w:type="dxa"/>
            <w:vMerge w:val="restart"/>
            <w:noWrap/>
            <w:vAlign w:val="top"/>
          </w:tcPr>
          <w:p>
            <w:pPr>
              <w:jc w:val="left"/>
              <w:rPr>
                <w:rFonts w:ascii="宋体" w:hAnsi="宋体" w:cs="仿宋"/>
                <w:color w:val="auto"/>
                <w:sz w:val="22"/>
                <w:szCs w:val="22"/>
              </w:rPr>
            </w:pPr>
            <w:r>
              <w:rPr>
                <w:rFonts w:hint="eastAsia" w:ascii="宋体" w:hAnsi="宋体" w:cs="仿宋"/>
                <w:color w:val="auto"/>
                <w:sz w:val="22"/>
                <w:szCs w:val="22"/>
              </w:rPr>
              <w:t>文明施工</w:t>
            </w:r>
          </w:p>
        </w:tc>
        <w:tc>
          <w:tcPr>
            <w:tcW w:w="1914" w:type="dxa"/>
            <w:gridSpan w:val="2"/>
            <w:noWrap/>
            <w:vAlign w:val="top"/>
          </w:tcPr>
          <w:p>
            <w:pPr>
              <w:jc w:val="left"/>
              <w:rPr>
                <w:rFonts w:ascii="宋体" w:hAnsi="宋体" w:cs="仿宋"/>
                <w:color w:val="auto"/>
                <w:sz w:val="22"/>
                <w:szCs w:val="22"/>
              </w:rPr>
            </w:pPr>
            <w:r>
              <w:rPr>
                <w:rFonts w:hint="eastAsia" w:ascii="宋体" w:hAnsi="宋体" w:cs="仿宋"/>
                <w:color w:val="auto"/>
                <w:sz w:val="22"/>
                <w:szCs w:val="22"/>
              </w:rPr>
              <w:t>维护现场设施</w:t>
            </w:r>
          </w:p>
        </w:tc>
        <w:tc>
          <w:tcPr>
            <w:tcW w:w="7016" w:type="dxa"/>
            <w:noWrap w:val="0"/>
            <w:vAlign w:val="top"/>
          </w:tcPr>
          <w:p>
            <w:pPr>
              <w:jc w:val="left"/>
              <w:rPr>
                <w:rFonts w:ascii="宋体" w:hAnsi="宋体" w:cs="仿宋"/>
                <w:color w:val="auto"/>
                <w:sz w:val="22"/>
                <w:szCs w:val="22"/>
              </w:rPr>
            </w:pPr>
            <w:r>
              <w:rPr>
                <w:rFonts w:hint="eastAsia" w:ascii="宋体" w:hAnsi="宋体" w:cs="仿宋"/>
                <w:color w:val="auto"/>
                <w:sz w:val="22"/>
                <w:szCs w:val="22"/>
              </w:rPr>
              <w:t>维护劳务分包及总承包已建的临时道路、施工样板、施工防护棚、材料堆放区等。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360" w:hRule="atLeast"/>
        </w:trPr>
        <w:tc>
          <w:tcPr>
            <w:tcW w:w="710" w:type="dxa"/>
            <w:vMerge w:val="continue"/>
            <w:noWrap w:val="0"/>
            <w:vAlign w:val="top"/>
          </w:tcPr>
          <w:p>
            <w:pPr>
              <w:jc w:val="left"/>
              <w:rPr>
                <w:rFonts w:ascii="宋体" w:hAnsi="宋体" w:cs="仿宋"/>
                <w:color w:val="auto"/>
                <w:sz w:val="22"/>
                <w:szCs w:val="22"/>
              </w:rPr>
            </w:pPr>
          </w:p>
        </w:tc>
        <w:tc>
          <w:tcPr>
            <w:tcW w:w="1914" w:type="dxa"/>
            <w:gridSpan w:val="2"/>
            <w:noWrap/>
            <w:vAlign w:val="top"/>
          </w:tcPr>
          <w:p>
            <w:pPr>
              <w:jc w:val="left"/>
              <w:rPr>
                <w:rFonts w:ascii="宋体" w:hAnsi="宋体" w:cs="仿宋"/>
                <w:color w:val="auto"/>
                <w:sz w:val="22"/>
                <w:szCs w:val="22"/>
              </w:rPr>
            </w:pPr>
            <w:r>
              <w:rPr>
                <w:rFonts w:hint="eastAsia" w:ascii="宋体" w:hAnsi="宋体" w:cs="仿宋"/>
                <w:color w:val="auto"/>
                <w:sz w:val="22"/>
                <w:szCs w:val="22"/>
              </w:rPr>
              <w:t>洞口开凿、封堵</w:t>
            </w:r>
          </w:p>
        </w:tc>
        <w:tc>
          <w:tcPr>
            <w:tcW w:w="7016" w:type="dxa"/>
            <w:noWrap w:val="0"/>
            <w:vAlign w:val="top"/>
          </w:tcPr>
          <w:p>
            <w:pPr>
              <w:jc w:val="left"/>
              <w:rPr>
                <w:rFonts w:ascii="宋体" w:hAnsi="宋体" w:cs="仿宋"/>
                <w:color w:val="auto"/>
                <w:sz w:val="22"/>
                <w:szCs w:val="22"/>
              </w:rPr>
            </w:pPr>
            <w:r>
              <w:rPr>
                <w:rFonts w:hint="eastAsia" w:ascii="宋体" w:hAnsi="宋体" w:cs="仿宋"/>
                <w:color w:val="auto"/>
                <w:sz w:val="22"/>
                <w:szCs w:val="22"/>
              </w:rPr>
              <w:t>分包范围内的预埋、开孔、塞缝、堵洞等。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285" w:hRule="atLeast"/>
        </w:trPr>
        <w:tc>
          <w:tcPr>
            <w:tcW w:w="710" w:type="dxa"/>
            <w:vMerge w:val="continue"/>
            <w:noWrap w:val="0"/>
            <w:vAlign w:val="top"/>
          </w:tcPr>
          <w:p>
            <w:pPr>
              <w:jc w:val="left"/>
              <w:rPr>
                <w:rFonts w:ascii="宋体" w:hAnsi="宋体" w:cs="仿宋"/>
                <w:color w:val="auto"/>
                <w:sz w:val="22"/>
                <w:szCs w:val="22"/>
              </w:rPr>
            </w:pPr>
          </w:p>
        </w:tc>
        <w:tc>
          <w:tcPr>
            <w:tcW w:w="1914" w:type="dxa"/>
            <w:gridSpan w:val="2"/>
            <w:noWrap/>
            <w:vAlign w:val="top"/>
          </w:tcPr>
          <w:p>
            <w:pPr>
              <w:jc w:val="left"/>
              <w:rPr>
                <w:rFonts w:ascii="宋体" w:hAnsi="宋体" w:cs="仿宋"/>
                <w:color w:val="auto"/>
                <w:sz w:val="22"/>
                <w:szCs w:val="22"/>
              </w:rPr>
            </w:pPr>
            <w:r>
              <w:rPr>
                <w:rFonts w:hint="eastAsia" w:ascii="宋体" w:hAnsi="宋体" w:cs="仿宋"/>
                <w:color w:val="auto"/>
                <w:sz w:val="22"/>
                <w:szCs w:val="22"/>
              </w:rPr>
              <w:t>材料堆放区</w:t>
            </w:r>
          </w:p>
        </w:tc>
        <w:tc>
          <w:tcPr>
            <w:tcW w:w="7016" w:type="dxa"/>
            <w:noWrap w:val="0"/>
            <w:vAlign w:val="top"/>
          </w:tcPr>
          <w:p>
            <w:pPr>
              <w:jc w:val="left"/>
              <w:rPr>
                <w:rFonts w:ascii="宋体" w:hAnsi="宋体" w:cs="仿宋"/>
                <w:color w:val="auto"/>
                <w:sz w:val="22"/>
                <w:szCs w:val="22"/>
              </w:rPr>
            </w:pPr>
            <w:r>
              <w:rPr>
                <w:rFonts w:hint="eastAsia" w:ascii="宋体" w:hAnsi="宋体" w:cs="仿宋"/>
                <w:color w:val="auto"/>
                <w:sz w:val="22"/>
                <w:szCs w:val="22"/>
              </w:rPr>
              <w:t>分类、规整并且要求有良好排水措施，放高度要求符合规范要求，并设置有效的防火器材。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285" w:hRule="atLeast"/>
        </w:trPr>
        <w:tc>
          <w:tcPr>
            <w:tcW w:w="710" w:type="dxa"/>
            <w:vMerge w:val="continue"/>
            <w:noWrap w:val="0"/>
            <w:vAlign w:val="top"/>
          </w:tcPr>
          <w:p>
            <w:pPr>
              <w:jc w:val="left"/>
              <w:rPr>
                <w:rFonts w:ascii="宋体" w:hAnsi="宋体" w:cs="仿宋"/>
                <w:color w:val="auto"/>
                <w:sz w:val="22"/>
                <w:szCs w:val="22"/>
              </w:rPr>
            </w:pPr>
          </w:p>
        </w:tc>
        <w:tc>
          <w:tcPr>
            <w:tcW w:w="1914" w:type="dxa"/>
            <w:gridSpan w:val="2"/>
            <w:noWrap/>
            <w:vAlign w:val="top"/>
          </w:tcPr>
          <w:p>
            <w:pPr>
              <w:jc w:val="left"/>
              <w:rPr>
                <w:rFonts w:ascii="宋体" w:hAnsi="宋体" w:cs="仿宋"/>
                <w:color w:val="auto"/>
                <w:sz w:val="22"/>
                <w:szCs w:val="22"/>
              </w:rPr>
            </w:pPr>
            <w:r>
              <w:rPr>
                <w:rFonts w:hint="eastAsia" w:ascii="宋体" w:hAnsi="宋体" w:cs="仿宋"/>
                <w:color w:val="auto"/>
                <w:sz w:val="22"/>
                <w:szCs w:val="22"/>
              </w:rPr>
              <w:t>其他</w:t>
            </w:r>
          </w:p>
        </w:tc>
        <w:tc>
          <w:tcPr>
            <w:tcW w:w="7016" w:type="dxa"/>
            <w:noWrap/>
            <w:vAlign w:val="top"/>
          </w:tcPr>
          <w:p>
            <w:pPr>
              <w:jc w:val="left"/>
              <w:rPr>
                <w:rFonts w:ascii="宋体" w:hAnsi="宋体" w:cs="仿宋"/>
                <w:color w:val="auto"/>
                <w:sz w:val="22"/>
                <w:szCs w:val="22"/>
              </w:rPr>
            </w:pPr>
            <w:r>
              <w:rPr>
                <w:rFonts w:hint="eastAsia" w:ascii="宋体" w:hAnsi="宋体" w:cs="仿宋"/>
                <w:color w:val="auto"/>
                <w:sz w:val="22"/>
                <w:szCs w:val="22"/>
              </w:rPr>
              <w:t>1.工完场清，施工垃圾、生活垃圾应分类存置于闭式垃圾站。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360" w:hRule="atLeast"/>
        </w:trPr>
        <w:tc>
          <w:tcPr>
            <w:tcW w:w="710" w:type="dxa"/>
            <w:vMerge w:val="restart"/>
            <w:noWrap w:val="0"/>
            <w:vAlign w:val="top"/>
          </w:tcPr>
          <w:p>
            <w:pPr>
              <w:jc w:val="left"/>
              <w:rPr>
                <w:rFonts w:ascii="宋体" w:hAnsi="宋体" w:cs="仿宋"/>
                <w:color w:val="auto"/>
                <w:sz w:val="22"/>
                <w:szCs w:val="22"/>
              </w:rPr>
            </w:pPr>
            <w:r>
              <w:rPr>
                <w:rFonts w:hint="eastAsia" w:ascii="宋体" w:hAnsi="宋体" w:cs="仿宋"/>
                <w:color w:val="auto"/>
                <w:sz w:val="22"/>
                <w:szCs w:val="22"/>
              </w:rPr>
              <w:t>安全施工</w:t>
            </w:r>
          </w:p>
        </w:tc>
        <w:tc>
          <w:tcPr>
            <w:tcW w:w="1914" w:type="dxa"/>
            <w:gridSpan w:val="2"/>
            <w:noWrap/>
            <w:vAlign w:val="top"/>
          </w:tcPr>
          <w:p>
            <w:pPr>
              <w:jc w:val="left"/>
              <w:rPr>
                <w:rFonts w:ascii="宋体" w:hAnsi="宋体" w:cs="仿宋"/>
                <w:color w:val="auto"/>
                <w:sz w:val="22"/>
                <w:szCs w:val="22"/>
              </w:rPr>
            </w:pPr>
            <w:r>
              <w:rPr>
                <w:rFonts w:hint="eastAsia" w:ascii="宋体" w:hAnsi="宋体" w:cs="仿宋"/>
                <w:color w:val="auto"/>
                <w:sz w:val="22"/>
                <w:szCs w:val="22"/>
              </w:rPr>
              <w:t>人员</w:t>
            </w:r>
          </w:p>
        </w:tc>
        <w:tc>
          <w:tcPr>
            <w:tcW w:w="7016" w:type="dxa"/>
            <w:noWrap w:val="0"/>
            <w:vAlign w:val="top"/>
          </w:tcPr>
          <w:p>
            <w:pPr>
              <w:jc w:val="left"/>
              <w:rPr>
                <w:rFonts w:ascii="宋体" w:hAnsi="宋体" w:cs="仿宋"/>
                <w:color w:val="auto"/>
                <w:sz w:val="22"/>
                <w:szCs w:val="22"/>
              </w:rPr>
            </w:pPr>
            <w:r>
              <w:rPr>
                <w:rFonts w:hint="eastAsia" w:ascii="宋体" w:hAnsi="宋体" w:cs="仿宋"/>
                <w:color w:val="auto"/>
                <w:sz w:val="22"/>
                <w:szCs w:val="22"/>
              </w:rPr>
              <w:t>配备安全员并维护乙方作业范围内的安全施工。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720" w:hRule="atLeast"/>
        </w:trPr>
        <w:tc>
          <w:tcPr>
            <w:tcW w:w="710" w:type="dxa"/>
            <w:vMerge w:val="continue"/>
            <w:noWrap w:val="0"/>
            <w:vAlign w:val="top"/>
          </w:tcPr>
          <w:p>
            <w:pPr>
              <w:jc w:val="left"/>
              <w:rPr>
                <w:rFonts w:ascii="宋体" w:hAnsi="宋体" w:cs="仿宋"/>
                <w:color w:val="auto"/>
                <w:sz w:val="22"/>
                <w:szCs w:val="22"/>
              </w:rPr>
            </w:pPr>
          </w:p>
        </w:tc>
        <w:tc>
          <w:tcPr>
            <w:tcW w:w="1914" w:type="dxa"/>
            <w:gridSpan w:val="2"/>
            <w:vMerge w:val="restart"/>
            <w:noWrap w:val="0"/>
            <w:vAlign w:val="top"/>
          </w:tcPr>
          <w:p>
            <w:pPr>
              <w:jc w:val="left"/>
              <w:rPr>
                <w:rFonts w:ascii="宋体" w:hAnsi="宋体" w:cs="仿宋"/>
                <w:color w:val="auto"/>
                <w:sz w:val="22"/>
                <w:szCs w:val="22"/>
              </w:rPr>
            </w:pPr>
            <w:r>
              <w:rPr>
                <w:rFonts w:hint="eastAsia" w:ascii="宋体" w:hAnsi="宋体" w:cs="仿宋"/>
                <w:color w:val="auto"/>
                <w:sz w:val="22"/>
                <w:szCs w:val="22"/>
              </w:rPr>
              <w:t>临时施工用电</w:t>
            </w:r>
          </w:p>
        </w:tc>
        <w:tc>
          <w:tcPr>
            <w:tcW w:w="7016" w:type="dxa"/>
            <w:noWrap w:val="0"/>
            <w:vAlign w:val="top"/>
          </w:tcPr>
          <w:p>
            <w:pPr>
              <w:jc w:val="left"/>
              <w:rPr>
                <w:rFonts w:ascii="宋体" w:hAnsi="宋体" w:cs="仿宋"/>
                <w:color w:val="auto"/>
                <w:sz w:val="22"/>
                <w:szCs w:val="22"/>
              </w:rPr>
            </w:pPr>
            <w:r>
              <w:rPr>
                <w:rFonts w:hint="eastAsia" w:ascii="宋体" w:hAnsi="宋体" w:cs="仿宋"/>
                <w:color w:val="auto"/>
                <w:sz w:val="22"/>
                <w:szCs w:val="22"/>
              </w:rPr>
              <w:t>1.乙方自行完成一级或二级配电箱后的施工用电。固定配电箱之后的用电工作及所需的设备、人工和全部材料（包括但不限于分配电箱、开关箱、电缆电线、照明灯具〈含LED灯〉），均由乙方自行负责，且无偿提供给总包方及总包方指定的其他分包方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480" w:hRule="atLeast"/>
        </w:trPr>
        <w:tc>
          <w:tcPr>
            <w:tcW w:w="710" w:type="dxa"/>
            <w:vMerge w:val="continue"/>
            <w:noWrap w:val="0"/>
            <w:vAlign w:val="top"/>
          </w:tcPr>
          <w:p>
            <w:pPr>
              <w:jc w:val="left"/>
              <w:rPr>
                <w:rFonts w:ascii="宋体" w:hAnsi="宋体" w:cs="仿宋"/>
                <w:color w:val="auto"/>
                <w:sz w:val="22"/>
                <w:szCs w:val="22"/>
              </w:rPr>
            </w:pPr>
          </w:p>
        </w:tc>
        <w:tc>
          <w:tcPr>
            <w:tcW w:w="1914" w:type="dxa"/>
            <w:gridSpan w:val="2"/>
            <w:vMerge w:val="continue"/>
            <w:noWrap w:val="0"/>
            <w:vAlign w:val="top"/>
          </w:tcPr>
          <w:p>
            <w:pPr>
              <w:jc w:val="left"/>
              <w:rPr>
                <w:rFonts w:ascii="宋体" w:hAnsi="宋体" w:cs="仿宋"/>
                <w:color w:val="auto"/>
                <w:sz w:val="22"/>
                <w:szCs w:val="22"/>
              </w:rPr>
            </w:pPr>
          </w:p>
        </w:tc>
        <w:tc>
          <w:tcPr>
            <w:tcW w:w="7016" w:type="dxa"/>
            <w:noWrap w:val="0"/>
            <w:vAlign w:val="top"/>
          </w:tcPr>
          <w:p>
            <w:pPr>
              <w:jc w:val="left"/>
              <w:rPr>
                <w:rFonts w:ascii="宋体" w:hAnsi="宋体" w:cs="仿宋"/>
                <w:color w:val="auto"/>
                <w:sz w:val="22"/>
                <w:szCs w:val="22"/>
              </w:rPr>
            </w:pPr>
            <w:r>
              <w:rPr>
                <w:rFonts w:hint="eastAsia" w:ascii="宋体" w:hAnsi="宋体" w:cs="仿宋"/>
                <w:color w:val="auto"/>
                <w:sz w:val="22"/>
                <w:szCs w:val="22"/>
              </w:rPr>
              <w:t>2.临时用电家庭化，施工现场分配电箱采用工业连接器（插座），开关箱采用工业连接器（插头）与分配电箱连接。电箱顶部设防雨、防坠落措施。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720" w:hRule="atLeast"/>
        </w:trPr>
        <w:tc>
          <w:tcPr>
            <w:tcW w:w="710" w:type="dxa"/>
            <w:vMerge w:val="continue"/>
            <w:noWrap w:val="0"/>
            <w:vAlign w:val="top"/>
          </w:tcPr>
          <w:p>
            <w:pPr>
              <w:jc w:val="left"/>
              <w:rPr>
                <w:rFonts w:ascii="宋体" w:hAnsi="宋体" w:cs="仿宋"/>
                <w:color w:val="auto"/>
                <w:sz w:val="22"/>
                <w:szCs w:val="22"/>
              </w:rPr>
            </w:pPr>
          </w:p>
        </w:tc>
        <w:tc>
          <w:tcPr>
            <w:tcW w:w="1914" w:type="dxa"/>
            <w:gridSpan w:val="2"/>
            <w:vMerge w:val="continue"/>
            <w:noWrap w:val="0"/>
            <w:vAlign w:val="top"/>
          </w:tcPr>
          <w:p>
            <w:pPr>
              <w:jc w:val="left"/>
              <w:rPr>
                <w:rFonts w:ascii="宋体" w:hAnsi="宋体" w:cs="仿宋"/>
                <w:color w:val="auto"/>
                <w:sz w:val="22"/>
                <w:szCs w:val="22"/>
              </w:rPr>
            </w:pPr>
          </w:p>
        </w:tc>
        <w:tc>
          <w:tcPr>
            <w:tcW w:w="7016" w:type="dxa"/>
            <w:noWrap w:val="0"/>
            <w:vAlign w:val="top"/>
          </w:tcPr>
          <w:p>
            <w:pPr>
              <w:jc w:val="left"/>
              <w:rPr>
                <w:rFonts w:ascii="宋体" w:hAnsi="宋体" w:cs="仿宋"/>
                <w:color w:val="auto"/>
                <w:sz w:val="22"/>
                <w:szCs w:val="22"/>
              </w:rPr>
            </w:pPr>
            <w:r>
              <w:rPr>
                <w:rFonts w:hint="eastAsia" w:ascii="宋体" w:hAnsi="宋体" w:cs="仿宋"/>
                <w:color w:val="auto"/>
                <w:sz w:val="22"/>
                <w:szCs w:val="22"/>
              </w:rPr>
              <w:t>3.各种固定机械，三级配电箱必须有重复接地，接地应采用角钢，圆钢，圆钢的直经不小于12mm，不得采用螺纹钢，配电箱内必须清洁，各部件无损坏，配电箱必须有锁，有防雨措施，所以用电设置开关箱必须符合‘一机，一闸，一漏，一箱’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240" w:hRule="atLeast"/>
        </w:trPr>
        <w:tc>
          <w:tcPr>
            <w:tcW w:w="710" w:type="dxa"/>
            <w:vMerge w:val="continue"/>
            <w:noWrap w:val="0"/>
            <w:vAlign w:val="top"/>
          </w:tcPr>
          <w:p>
            <w:pPr>
              <w:jc w:val="left"/>
              <w:rPr>
                <w:rFonts w:ascii="宋体" w:hAnsi="宋体" w:cs="仿宋"/>
                <w:color w:val="auto"/>
                <w:sz w:val="22"/>
                <w:szCs w:val="22"/>
              </w:rPr>
            </w:pPr>
          </w:p>
        </w:tc>
        <w:tc>
          <w:tcPr>
            <w:tcW w:w="1914" w:type="dxa"/>
            <w:gridSpan w:val="2"/>
            <w:noWrap w:val="0"/>
            <w:vAlign w:val="top"/>
          </w:tcPr>
          <w:p>
            <w:pPr>
              <w:jc w:val="left"/>
              <w:rPr>
                <w:rFonts w:ascii="宋体" w:hAnsi="宋体" w:cs="仿宋"/>
                <w:color w:val="auto"/>
                <w:sz w:val="22"/>
                <w:szCs w:val="22"/>
              </w:rPr>
            </w:pPr>
            <w:r>
              <w:rPr>
                <w:rFonts w:hint="eastAsia" w:ascii="宋体" w:hAnsi="宋体" w:cs="仿宋"/>
                <w:color w:val="auto"/>
                <w:sz w:val="22"/>
                <w:szCs w:val="22"/>
              </w:rPr>
              <w:t>临时施工用水</w:t>
            </w:r>
          </w:p>
        </w:tc>
        <w:tc>
          <w:tcPr>
            <w:tcW w:w="7016" w:type="dxa"/>
            <w:noWrap w:val="0"/>
            <w:vAlign w:val="top"/>
          </w:tcPr>
          <w:p>
            <w:pPr>
              <w:jc w:val="left"/>
              <w:rPr>
                <w:rFonts w:ascii="宋体" w:hAnsi="宋体" w:cs="仿宋"/>
                <w:color w:val="auto"/>
                <w:sz w:val="22"/>
                <w:szCs w:val="22"/>
              </w:rPr>
            </w:pPr>
            <w:r>
              <w:rPr>
                <w:rFonts w:hint="eastAsia" w:ascii="宋体" w:hAnsi="宋体" w:cs="仿宋"/>
                <w:color w:val="auto"/>
                <w:sz w:val="22"/>
                <w:szCs w:val="22"/>
              </w:rPr>
              <w:t>固定水龙头之后的用水工作及所需的人工和全部材料，均由乙方自行负责。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720" w:hRule="atLeast"/>
        </w:trPr>
        <w:tc>
          <w:tcPr>
            <w:tcW w:w="710" w:type="dxa"/>
            <w:vMerge w:val="continue"/>
            <w:noWrap w:val="0"/>
            <w:vAlign w:val="top"/>
          </w:tcPr>
          <w:p>
            <w:pPr>
              <w:jc w:val="left"/>
              <w:rPr>
                <w:rFonts w:ascii="宋体" w:hAnsi="宋体" w:cs="仿宋"/>
                <w:color w:val="auto"/>
                <w:sz w:val="22"/>
                <w:szCs w:val="22"/>
              </w:rPr>
            </w:pPr>
          </w:p>
        </w:tc>
        <w:tc>
          <w:tcPr>
            <w:tcW w:w="1914" w:type="dxa"/>
            <w:gridSpan w:val="2"/>
            <w:noWrap w:val="0"/>
            <w:vAlign w:val="top"/>
          </w:tcPr>
          <w:p>
            <w:pPr>
              <w:jc w:val="left"/>
              <w:rPr>
                <w:rFonts w:ascii="宋体" w:hAnsi="宋体" w:cs="仿宋"/>
                <w:color w:val="auto"/>
                <w:sz w:val="22"/>
                <w:szCs w:val="22"/>
              </w:rPr>
            </w:pPr>
            <w:r>
              <w:rPr>
                <w:rFonts w:hint="eastAsia" w:ascii="宋体" w:hAnsi="宋体" w:cs="仿宋"/>
                <w:color w:val="auto"/>
                <w:sz w:val="22"/>
                <w:szCs w:val="22"/>
              </w:rPr>
              <w:t>安全生产防护、劳保用品</w:t>
            </w:r>
          </w:p>
        </w:tc>
        <w:tc>
          <w:tcPr>
            <w:tcW w:w="7016" w:type="dxa"/>
            <w:noWrap w:val="0"/>
            <w:vAlign w:val="top"/>
          </w:tcPr>
          <w:p>
            <w:pPr>
              <w:jc w:val="left"/>
              <w:rPr>
                <w:rFonts w:ascii="宋体" w:hAnsi="宋体" w:cs="仿宋"/>
                <w:color w:val="auto"/>
                <w:sz w:val="22"/>
                <w:szCs w:val="22"/>
              </w:rPr>
            </w:pPr>
            <w:r>
              <w:rPr>
                <w:rFonts w:hint="eastAsia" w:ascii="宋体" w:hAnsi="宋体" w:cs="仿宋"/>
                <w:color w:val="auto"/>
                <w:sz w:val="22"/>
                <w:szCs w:val="22"/>
              </w:rPr>
              <w:t>施工安全生产防护、劳保用品（如：电焊面罩、安全帽、安全带、反光衣、绝缘手套、鞋、工作服等）均由乙方按总包方要求自行负责配置，费用自理。其中安全帽、反光衣、配电箱、安全带由乙方提供采购计划、总包方统一购买，费用乙方承担。(安全帽23元/顶，反光衣17元/件，安全带48元/条，开关箱250A为1240元/个，以上均含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240" w:hRule="atLeast"/>
        </w:trPr>
        <w:tc>
          <w:tcPr>
            <w:tcW w:w="710" w:type="dxa"/>
            <w:vMerge w:val="continue"/>
            <w:noWrap w:val="0"/>
            <w:vAlign w:val="top"/>
          </w:tcPr>
          <w:p>
            <w:pPr>
              <w:jc w:val="left"/>
              <w:rPr>
                <w:rFonts w:ascii="宋体" w:hAnsi="宋体" w:cs="仿宋"/>
                <w:color w:val="auto"/>
                <w:sz w:val="22"/>
                <w:szCs w:val="22"/>
              </w:rPr>
            </w:pPr>
          </w:p>
        </w:tc>
        <w:tc>
          <w:tcPr>
            <w:tcW w:w="1914" w:type="dxa"/>
            <w:gridSpan w:val="2"/>
            <w:vMerge w:val="restart"/>
            <w:noWrap w:val="0"/>
            <w:vAlign w:val="top"/>
          </w:tcPr>
          <w:p>
            <w:pPr>
              <w:jc w:val="left"/>
              <w:rPr>
                <w:rFonts w:ascii="宋体" w:hAnsi="宋体" w:cs="仿宋"/>
                <w:color w:val="auto"/>
                <w:sz w:val="22"/>
                <w:szCs w:val="22"/>
              </w:rPr>
            </w:pPr>
            <w:r>
              <w:rPr>
                <w:rFonts w:hint="eastAsia" w:ascii="宋体" w:hAnsi="宋体" w:cs="仿宋"/>
                <w:color w:val="auto"/>
                <w:sz w:val="22"/>
                <w:szCs w:val="22"/>
              </w:rPr>
              <w:t>其他</w:t>
            </w:r>
          </w:p>
        </w:tc>
        <w:tc>
          <w:tcPr>
            <w:tcW w:w="7016" w:type="dxa"/>
            <w:noWrap w:val="0"/>
            <w:vAlign w:val="top"/>
          </w:tcPr>
          <w:p>
            <w:pPr>
              <w:jc w:val="left"/>
              <w:rPr>
                <w:rFonts w:ascii="宋体" w:hAnsi="宋体" w:cs="仿宋"/>
                <w:color w:val="auto"/>
                <w:sz w:val="22"/>
                <w:szCs w:val="22"/>
              </w:rPr>
            </w:pPr>
            <w:r>
              <w:rPr>
                <w:rFonts w:hint="eastAsia" w:ascii="宋体" w:hAnsi="宋体" w:cs="仿宋"/>
                <w:color w:val="auto"/>
                <w:sz w:val="22"/>
                <w:szCs w:val="22"/>
              </w:rPr>
              <w:t>1.使用定型化电焊机手推车并配灭火器材；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240" w:hRule="atLeast"/>
        </w:trPr>
        <w:tc>
          <w:tcPr>
            <w:tcW w:w="710" w:type="dxa"/>
            <w:vMerge w:val="continue"/>
            <w:noWrap w:val="0"/>
            <w:vAlign w:val="top"/>
          </w:tcPr>
          <w:p>
            <w:pPr>
              <w:jc w:val="left"/>
              <w:rPr>
                <w:rFonts w:ascii="宋体" w:hAnsi="宋体" w:cs="仿宋"/>
                <w:color w:val="auto"/>
                <w:sz w:val="22"/>
                <w:szCs w:val="22"/>
              </w:rPr>
            </w:pPr>
          </w:p>
        </w:tc>
        <w:tc>
          <w:tcPr>
            <w:tcW w:w="1914" w:type="dxa"/>
            <w:gridSpan w:val="2"/>
            <w:vMerge w:val="continue"/>
            <w:noWrap w:val="0"/>
            <w:vAlign w:val="top"/>
          </w:tcPr>
          <w:p>
            <w:pPr>
              <w:jc w:val="left"/>
              <w:rPr>
                <w:rFonts w:ascii="宋体" w:hAnsi="宋体" w:cs="仿宋"/>
                <w:color w:val="auto"/>
                <w:sz w:val="22"/>
                <w:szCs w:val="22"/>
              </w:rPr>
            </w:pPr>
          </w:p>
        </w:tc>
        <w:tc>
          <w:tcPr>
            <w:tcW w:w="7016" w:type="dxa"/>
            <w:noWrap w:val="0"/>
            <w:vAlign w:val="top"/>
          </w:tcPr>
          <w:p>
            <w:pPr>
              <w:jc w:val="left"/>
              <w:rPr>
                <w:rFonts w:ascii="宋体" w:hAnsi="宋体" w:cs="仿宋"/>
                <w:color w:val="auto"/>
                <w:sz w:val="22"/>
                <w:szCs w:val="22"/>
              </w:rPr>
            </w:pPr>
            <w:r>
              <w:rPr>
                <w:rFonts w:hint="eastAsia" w:ascii="宋体" w:hAnsi="宋体" w:cs="仿宋"/>
                <w:color w:val="auto"/>
                <w:sz w:val="22"/>
                <w:szCs w:val="22"/>
              </w:rPr>
              <w:t>2.施工现场砂轮需配备防火星罩；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240" w:hRule="atLeast"/>
        </w:trPr>
        <w:tc>
          <w:tcPr>
            <w:tcW w:w="710" w:type="dxa"/>
            <w:vMerge w:val="continue"/>
            <w:noWrap w:val="0"/>
            <w:vAlign w:val="top"/>
          </w:tcPr>
          <w:p>
            <w:pPr>
              <w:jc w:val="left"/>
              <w:rPr>
                <w:rFonts w:ascii="宋体" w:hAnsi="宋体" w:cs="仿宋"/>
                <w:color w:val="auto"/>
                <w:sz w:val="22"/>
                <w:szCs w:val="22"/>
              </w:rPr>
            </w:pPr>
          </w:p>
        </w:tc>
        <w:tc>
          <w:tcPr>
            <w:tcW w:w="1914" w:type="dxa"/>
            <w:gridSpan w:val="2"/>
            <w:vMerge w:val="continue"/>
            <w:noWrap w:val="0"/>
            <w:vAlign w:val="top"/>
          </w:tcPr>
          <w:p>
            <w:pPr>
              <w:jc w:val="left"/>
              <w:rPr>
                <w:rFonts w:ascii="宋体" w:hAnsi="宋体" w:cs="仿宋"/>
                <w:color w:val="auto"/>
                <w:sz w:val="22"/>
                <w:szCs w:val="22"/>
              </w:rPr>
            </w:pPr>
          </w:p>
        </w:tc>
        <w:tc>
          <w:tcPr>
            <w:tcW w:w="7016" w:type="dxa"/>
            <w:noWrap w:val="0"/>
            <w:vAlign w:val="top"/>
          </w:tcPr>
          <w:p>
            <w:pPr>
              <w:jc w:val="left"/>
              <w:rPr>
                <w:rFonts w:ascii="宋体" w:hAnsi="宋体" w:cs="仿宋"/>
                <w:color w:val="auto"/>
                <w:sz w:val="22"/>
                <w:szCs w:val="22"/>
              </w:rPr>
            </w:pPr>
            <w:r>
              <w:rPr>
                <w:rFonts w:hint="eastAsia" w:ascii="宋体" w:hAnsi="宋体" w:cs="仿宋"/>
                <w:color w:val="auto"/>
                <w:sz w:val="22"/>
                <w:szCs w:val="22"/>
              </w:rPr>
              <w:t>3.安全警示标志牌、警戒线。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480" w:hRule="atLeast"/>
        </w:trPr>
        <w:tc>
          <w:tcPr>
            <w:tcW w:w="710" w:type="dxa"/>
            <w:vMerge w:val="continue"/>
            <w:noWrap w:val="0"/>
            <w:vAlign w:val="top"/>
          </w:tcPr>
          <w:p>
            <w:pPr>
              <w:jc w:val="left"/>
              <w:rPr>
                <w:rFonts w:ascii="宋体" w:hAnsi="宋体" w:cs="仿宋"/>
                <w:color w:val="auto"/>
                <w:sz w:val="22"/>
                <w:szCs w:val="22"/>
              </w:rPr>
            </w:pPr>
          </w:p>
        </w:tc>
        <w:tc>
          <w:tcPr>
            <w:tcW w:w="1914" w:type="dxa"/>
            <w:gridSpan w:val="2"/>
            <w:vMerge w:val="continue"/>
            <w:noWrap w:val="0"/>
            <w:vAlign w:val="top"/>
          </w:tcPr>
          <w:p>
            <w:pPr>
              <w:jc w:val="left"/>
              <w:rPr>
                <w:rFonts w:ascii="宋体" w:hAnsi="宋体" w:cs="仿宋"/>
                <w:color w:val="auto"/>
                <w:sz w:val="22"/>
                <w:szCs w:val="22"/>
              </w:rPr>
            </w:pPr>
          </w:p>
        </w:tc>
        <w:tc>
          <w:tcPr>
            <w:tcW w:w="7016" w:type="dxa"/>
            <w:noWrap w:val="0"/>
            <w:vAlign w:val="top"/>
          </w:tcPr>
          <w:p>
            <w:pPr>
              <w:jc w:val="left"/>
              <w:rPr>
                <w:rFonts w:ascii="宋体" w:hAnsi="宋体" w:cs="仿宋"/>
                <w:color w:val="auto"/>
                <w:sz w:val="22"/>
                <w:szCs w:val="22"/>
              </w:rPr>
            </w:pPr>
            <w:r>
              <w:rPr>
                <w:rFonts w:hint="eastAsia" w:ascii="宋体" w:hAnsi="宋体" w:cs="仿宋"/>
                <w:color w:val="auto"/>
                <w:sz w:val="22"/>
                <w:szCs w:val="22"/>
              </w:rPr>
              <w:t>4.项目资料：包括不限于质检及安检等资料的编制及报送、技术支持及相关方案编制、专家送审等、协助项目部对外业务管理协调等。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240" w:hRule="atLeast"/>
        </w:trPr>
        <w:tc>
          <w:tcPr>
            <w:tcW w:w="710" w:type="dxa"/>
            <w:vMerge w:val="continue"/>
            <w:noWrap w:val="0"/>
            <w:vAlign w:val="top"/>
          </w:tcPr>
          <w:p>
            <w:pPr>
              <w:jc w:val="left"/>
              <w:rPr>
                <w:rFonts w:ascii="宋体" w:hAnsi="宋体" w:cs="仿宋"/>
                <w:color w:val="auto"/>
                <w:sz w:val="22"/>
                <w:szCs w:val="22"/>
              </w:rPr>
            </w:pPr>
          </w:p>
        </w:tc>
        <w:tc>
          <w:tcPr>
            <w:tcW w:w="1914" w:type="dxa"/>
            <w:gridSpan w:val="2"/>
            <w:noWrap/>
            <w:vAlign w:val="top"/>
          </w:tcPr>
          <w:p>
            <w:pPr>
              <w:jc w:val="left"/>
              <w:rPr>
                <w:rFonts w:ascii="宋体" w:hAnsi="宋体" w:cs="仿宋"/>
                <w:color w:val="auto"/>
                <w:sz w:val="22"/>
                <w:szCs w:val="22"/>
              </w:rPr>
            </w:pPr>
            <w:r>
              <w:rPr>
                <w:rFonts w:hint="eastAsia" w:ascii="宋体" w:hAnsi="宋体" w:cs="仿宋"/>
                <w:color w:val="auto"/>
                <w:sz w:val="22"/>
                <w:szCs w:val="22"/>
              </w:rPr>
              <w:t>保健急救措施</w:t>
            </w:r>
          </w:p>
        </w:tc>
        <w:tc>
          <w:tcPr>
            <w:tcW w:w="7016" w:type="dxa"/>
            <w:noWrap w:val="0"/>
            <w:vAlign w:val="top"/>
          </w:tcPr>
          <w:p>
            <w:pPr>
              <w:jc w:val="left"/>
              <w:rPr>
                <w:rFonts w:ascii="宋体" w:hAnsi="宋体" w:cs="仿宋"/>
                <w:color w:val="auto"/>
                <w:sz w:val="22"/>
                <w:szCs w:val="22"/>
              </w:rPr>
            </w:pPr>
            <w:r>
              <w:rPr>
                <w:rFonts w:hint="eastAsia" w:ascii="宋体" w:hAnsi="宋体" w:cs="仿宋"/>
                <w:color w:val="auto"/>
                <w:sz w:val="22"/>
                <w:szCs w:val="22"/>
              </w:rPr>
              <w:t>保健医药用品、急救用品，作业救生设备器具。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240" w:hRule="atLeast"/>
        </w:trPr>
        <w:tc>
          <w:tcPr>
            <w:tcW w:w="710" w:type="dxa"/>
            <w:vMerge w:val="continue"/>
            <w:noWrap w:val="0"/>
            <w:vAlign w:val="top"/>
          </w:tcPr>
          <w:p>
            <w:pPr>
              <w:jc w:val="left"/>
              <w:rPr>
                <w:rFonts w:ascii="宋体" w:hAnsi="宋体" w:cs="仿宋"/>
                <w:color w:val="auto"/>
                <w:sz w:val="22"/>
                <w:szCs w:val="22"/>
              </w:rPr>
            </w:pPr>
          </w:p>
        </w:tc>
        <w:tc>
          <w:tcPr>
            <w:tcW w:w="1914" w:type="dxa"/>
            <w:gridSpan w:val="2"/>
            <w:noWrap/>
            <w:vAlign w:val="top"/>
          </w:tcPr>
          <w:p>
            <w:pPr>
              <w:jc w:val="left"/>
              <w:rPr>
                <w:rFonts w:ascii="宋体" w:hAnsi="宋体" w:cs="仿宋"/>
                <w:color w:val="auto"/>
                <w:sz w:val="22"/>
                <w:szCs w:val="22"/>
              </w:rPr>
            </w:pPr>
            <w:r>
              <w:rPr>
                <w:rFonts w:hint="eastAsia" w:ascii="宋体" w:hAnsi="宋体" w:cs="仿宋"/>
                <w:color w:val="auto"/>
                <w:sz w:val="22"/>
                <w:szCs w:val="22"/>
              </w:rPr>
              <w:t>安全检测费用</w:t>
            </w:r>
          </w:p>
        </w:tc>
        <w:tc>
          <w:tcPr>
            <w:tcW w:w="7016" w:type="dxa"/>
            <w:noWrap w:val="0"/>
            <w:vAlign w:val="top"/>
          </w:tcPr>
          <w:p>
            <w:pPr>
              <w:jc w:val="left"/>
              <w:rPr>
                <w:rFonts w:ascii="宋体" w:hAnsi="宋体" w:cs="仿宋"/>
                <w:color w:val="auto"/>
                <w:sz w:val="22"/>
                <w:szCs w:val="22"/>
              </w:rPr>
            </w:pPr>
            <w:r>
              <w:rPr>
                <w:rFonts w:hint="eastAsia" w:ascii="宋体" w:hAnsi="宋体" w:cs="仿宋"/>
                <w:color w:val="auto"/>
                <w:sz w:val="22"/>
                <w:szCs w:val="22"/>
              </w:rPr>
              <w:t>安全防护用品设施的检测并确保合格。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240" w:hRule="atLeast"/>
        </w:trPr>
        <w:tc>
          <w:tcPr>
            <w:tcW w:w="710" w:type="dxa"/>
            <w:vMerge w:val="continue"/>
            <w:noWrap w:val="0"/>
            <w:vAlign w:val="top"/>
          </w:tcPr>
          <w:p>
            <w:pPr>
              <w:jc w:val="left"/>
              <w:rPr>
                <w:rFonts w:ascii="宋体" w:hAnsi="宋体" w:cs="仿宋"/>
                <w:color w:val="auto"/>
                <w:sz w:val="22"/>
                <w:szCs w:val="22"/>
              </w:rPr>
            </w:pPr>
          </w:p>
        </w:tc>
        <w:tc>
          <w:tcPr>
            <w:tcW w:w="1914" w:type="dxa"/>
            <w:gridSpan w:val="2"/>
            <w:noWrap/>
            <w:vAlign w:val="top"/>
          </w:tcPr>
          <w:p>
            <w:pPr>
              <w:jc w:val="left"/>
              <w:rPr>
                <w:rFonts w:ascii="宋体" w:hAnsi="宋体" w:cs="仿宋"/>
                <w:color w:val="auto"/>
                <w:sz w:val="22"/>
                <w:szCs w:val="22"/>
              </w:rPr>
            </w:pPr>
            <w:r>
              <w:rPr>
                <w:rFonts w:hint="eastAsia" w:ascii="宋体" w:hAnsi="宋体" w:cs="仿宋"/>
                <w:color w:val="auto"/>
                <w:sz w:val="22"/>
                <w:szCs w:val="22"/>
              </w:rPr>
              <w:t>施工机具防护</w:t>
            </w:r>
          </w:p>
        </w:tc>
        <w:tc>
          <w:tcPr>
            <w:tcW w:w="7016" w:type="dxa"/>
            <w:noWrap w:val="0"/>
            <w:vAlign w:val="top"/>
          </w:tcPr>
          <w:p>
            <w:pPr>
              <w:jc w:val="left"/>
              <w:rPr>
                <w:rFonts w:ascii="宋体" w:hAnsi="宋体" w:cs="仿宋"/>
                <w:color w:val="auto"/>
                <w:sz w:val="22"/>
                <w:szCs w:val="22"/>
              </w:rPr>
            </w:pPr>
            <w:r>
              <w:rPr>
                <w:rFonts w:hint="eastAsia" w:ascii="宋体" w:hAnsi="宋体" w:cs="仿宋"/>
                <w:color w:val="auto"/>
                <w:sz w:val="22"/>
                <w:szCs w:val="22"/>
              </w:rPr>
              <w:t>物料提升机等施工机具的临时防雨、安全防护工棚。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480" w:hRule="atLeast"/>
        </w:trPr>
        <w:tc>
          <w:tcPr>
            <w:tcW w:w="710" w:type="dxa"/>
            <w:vMerge w:val="restart"/>
            <w:noWrap w:val="0"/>
            <w:vAlign w:val="top"/>
          </w:tcPr>
          <w:p>
            <w:pPr>
              <w:jc w:val="left"/>
              <w:rPr>
                <w:rFonts w:ascii="宋体" w:hAnsi="宋体" w:cs="仿宋"/>
                <w:color w:val="auto"/>
                <w:sz w:val="22"/>
                <w:szCs w:val="22"/>
              </w:rPr>
            </w:pPr>
            <w:r>
              <w:rPr>
                <w:rFonts w:hint="eastAsia" w:ascii="宋体" w:hAnsi="宋体" w:cs="仿宋"/>
                <w:color w:val="auto"/>
                <w:sz w:val="22"/>
                <w:szCs w:val="22"/>
              </w:rPr>
              <w:t>绿色施工</w:t>
            </w:r>
          </w:p>
        </w:tc>
        <w:tc>
          <w:tcPr>
            <w:tcW w:w="598" w:type="dxa"/>
            <w:vMerge w:val="restart"/>
            <w:noWrap/>
            <w:vAlign w:val="top"/>
          </w:tcPr>
          <w:p>
            <w:pPr>
              <w:jc w:val="left"/>
              <w:rPr>
                <w:rFonts w:ascii="宋体" w:hAnsi="宋体" w:cs="仿宋"/>
                <w:color w:val="auto"/>
                <w:sz w:val="22"/>
                <w:szCs w:val="22"/>
              </w:rPr>
            </w:pPr>
            <w:r>
              <w:rPr>
                <w:rFonts w:hint="eastAsia" w:ascii="宋体" w:hAnsi="宋体" w:cs="仿宋"/>
                <w:color w:val="auto"/>
                <w:sz w:val="22"/>
                <w:szCs w:val="22"/>
              </w:rPr>
              <w:t>环境保护</w:t>
            </w:r>
          </w:p>
        </w:tc>
        <w:tc>
          <w:tcPr>
            <w:tcW w:w="1316" w:type="dxa"/>
            <w:noWrap/>
            <w:vAlign w:val="top"/>
          </w:tcPr>
          <w:p>
            <w:pPr>
              <w:jc w:val="left"/>
              <w:rPr>
                <w:rFonts w:ascii="宋体" w:hAnsi="宋体" w:cs="仿宋"/>
                <w:color w:val="auto"/>
                <w:sz w:val="22"/>
                <w:szCs w:val="22"/>
              </w:rPr>
            </w:pPr>
            <w:r>
              <w:rPr>
                <w:rFonts w:hint="eastAsia" w:ascii="宋体" w:hAnsi="宋体" w:cs="仿宋"/>
                <w:color w:val="auto"/>
                <w:sz w:val="22"/>
                <w:szCs w:val="22"/>
              </w:rPr>
              <w:t>扬尘控制</w:t>
            </w:r>
          </w:p>
        </w:tc>
        <w:tc>
          <w:tcPr>
            <w:tcW w:w="7016" w:type="dxa"/>
            <w:noWrap w:val="0"/>
            <w:vAlign w:val="top"/>
          </w:tcPr>
          <w:p>
            <w:pPr>
              <w:jc w:val="left"/>
              <w:rPr>
                <w:rFonts w:ascii="宋体" w:hAnsi="宋体" w:cs="仿宋"/>
                <w:color w:val="auto"/>
                <w:sz w:val="22"/>
                <w:szCs w:val="22"/>
              </w:rPr>
            </w:pPr>
            <w:r>
              <w:rPr>
                <w:rFonts w:hint="eastAsia" w:ascii="宋体" w:hAnsi="宋体" w:cs="仿宋"/>
                <w:color w:val="auto"/>
                <w:sz w:val="22"/>
                <w:szCs w:val="22"/>
              </w:rPr>
              <w:t>1.（1）材料堆放（材料、构件、料具等堆放时，悬挂有名称、品种、规格等标牌；（2）易燃、易爆和有毒有害物品分类存放、现场防火（消防器材配置合理，符合消防要求）；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480" w:hRule="atLeast"/>
        </w:trPr>
        <w:tc>
          <w:tcPr>
            <w:tcW w:w="710" w:type="dxa"/>
            <w:vMerge w:val="continue"/>
            <w:noWrap w:val="0"/>
            <w:vAlign w:val="top"/>
          </w:tcPr>
          <w:p>
            <w:pPr>
              <w:jc w:val="left"/>
              <w:rPr>
                <w:rFonts w:ascii="宋体" w:hAnsi="宋体" w:cs="仿宋"/>
                <w:color w:val="auto"/>
                <w:sz w:val="22"/>
                <w:szCs w:val="22"/>
              </w:rPr>
            </w:pPr>
          </w:p>
        </w:tc>
        <w:tc>
          <w:tcPr>
            <w:tcW w:w="598" w:type="dxa"/>
            <w:vMerge w:val="continue"/>
            <w:noWrap w:val="0"/>
            <w:vAlign w:val="top"/>
          </w:tcPr>
          <w:p>
            <w:pPr>
              <w:jc w:val="left"/>
              <w:rPr>
                <w:rFonts w:ascii="宋体" w:hAnsi="宋体" w:cs="仿宋"/>
                <w:color w:val="auto"/>
                <w:sz w:val="22"/>
                <w:szCs w:val="22"/>
              </w:rPr>
            </w:pPr>
          </w:p>
        </w:tc>
        <w:tc>
          <w:tcPr>
            <w:tcW w:w="1316" w:type="dxa"/>
            <w:vMerge w:val="restart"/>
            <w:noWrap w:val="0"/>
            <w:vAlign w:val="top"/>
          </w:tcPr>
          <w:p>
            <w:pPr>
              <w:jc w:val="left"/>
              <w:rPr>
                <w:rFonts w:ascii="宋体" w:hAnsi="宋体" w:cs="仿宋"/>
                <w:color w:val="auto"/>
                <w:sz w:val="22"/>
                <w:szCs w:val="22"/>
              </w:rPr>
            </w:pPr>
            <w:r>
              <w:rPr>
                <w:rFonts w:hint="eastAsia" w:ascii="宋体" w:hAnsi="宋体" w:cs="仿宋"/>
                <w:color w:val="auto"/>
                <w:sz w:val="22"/>
                <w:szCs w:val="22"/>
              </w:rPr>
              <w:t>噪音与振动控制</w:t>
            </w:r>
          </w:p>
        </w:tc>
        <w:tc>
          <w:tcPr>
            <w:tcW w:w="7016" w:type="dxa"/>
            <w:noWrap w:val="0"/>
            <w:vAlign w:val="top"/>
          </w:tcPr>
          <w:p>
            <w:pPr>
              <w:jc w:val="left"/>
              <w:rPr>
                <w:rFonts w:ascii="宋体" w:hAnsi="宋体" w:cs="仿宋"/>
                <w:color w:val="auto"/>
                <w:sz w:val="22"/>
                <w:szCs w:val="22"/>
              </w:rPr>
            </w:pPr>
            <w:r>
              <w:rPr>
                <w:rFonts w:hint="eastAsia" w:ascii="宋体" w:hAnsi="宋体" w:cs="仿宋"/>
                <w:color w:val="auto"/>
                <w:sz w:val="22"/>
                <w:szCs w:val="22"/>
              </w:rPr>
              <w:t>1.对施工现场场界噪声按现行国家标准《建筑施工场界环境噪声排放标准》（GB12523)的相关要求进行监测和记录，施工厂场界环境噪声排放昼间不超过70dB(A)，夜间不超过55dB(A)。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285" w:hRule="atLeast"/>
        </w:trPr>
        <w:tc>
          <w:tcPr>
            <w:tcW w:w="710" w:type="dxa"/>
            <w:vMerge w:val="continue"/>
            <w:noWrap w:val="0"/>
            <w:vAlign w:val="top"/>
          </w:tcPr>
          <w:p>
            <w:pPr>
              <w:jc w:val="left"/>
              <w:rPr>
                <w:rFonts w:ascii="宋体" w:hAnsi="宋体" w:cs="仿宋"/>
                <w:color w:val="auto"/>
                <w:sz w:val="22"/>
                <w:szCs w:val="22"/>
              </w:rPr>
            </w:pPr>
          </w:p>
        </w:tc>
        <w:tc>
          <w:tcPr>
            <w:tcW w:w="598" w:type="dxa"/>
            <w:vMerge w:val="continue"/>
            <w:noWrap w:val="0"/>
            <w:vAlign w:val="top"/>
          </w:tcPr>
          <w:p>
            <w:pPr>
              <w:jc w:val="left"/>
              <w:rPr>
                <w:rFonts w:ascii="宋体" w:hAnsi="宋体" w:cs="仿宋"/>
                <w:color w:val="auto"/>
                <w:sz w:val="22"/>
                <w:szCs w:val="22"/>
              </w:rPr>
            </w:pPr>
          </w:p>
        </w:tc>
        <w:tc>
          <w:tcPr>
            <w:tcW w:w="1316" w:type="dxa"/>
            <w:vMerge w:val="continue"/>
            <w:noWrap w:val="0"/>
            <w:vAlign w:val="top"/>
          </w:tcPr>
          <w:p>
            <w:pPr>
              <w:jc w:val="left"/>
              <w:rPr>
                <w:rFonts w:ascii="宋体" w:hAnsi="宋体" w:cs="仿宋"/>
                <w:color w:val="auto"/>
                <w:sz w:val="22"/>
                <w:szCs w:val="22"/>
              </w:rPr>
            </w:pPr>
          </w:p>
        </w:tc>
        <w:tc>
          <w:tcPr>
            <w:tcW w:w="7016" w:type="dxa"/>
            <w:noWrap/>
            <w:vAlign w:val="top"/>
          </w:tcPr>
          <w:p>
            <w:pPr>
              <w:jc w:val="left"/>
              <w:rPr>
                <w:rFonts w:ascii="宋体" w:hAnsi="宋体" w:cs="仿宋"/>
                <w:color w:val="auto"/>
                <w:sz w:val="22"/>
                <w:szCs w:val="22"/>
              </w:rPr>
            </w:pPr>
            <w:r>
              <w:rPr>
                <w:rFonts w:hint="eastAsia" w:ascii="宋体" w:hAnsi="宋体" w:cs="仿宋"/>
                <w:color w:val="auto"/>
                <w:sz w:val="22"/>
                <w:szCs w:val="22"/>
              </w:rPr>
              <w:t>2.施工现场使用低噪音、低振动的机具，对现场强噪声设备搭设封闭式机棚。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240" w:hRule="atLeast"/>
        </w:trPr>
        <w:tc>
          <w:tcPr>
            <w:tcW w:w="710" w:type="dxa"/>
            <w:vMerge w:val="continue"/>
            <w:noWrap w:val="0"/>
            <w:vAlign w:val="top"/>
          </w:tcPr>
          <w:p>
            <w:pPr>
              <w:jc w:val="left"/>
              <w:rPr>
                <w:rFonts w:ascii="宋体" w:hAnsi="宋体" w:cs="仿宋"/>
                <w:color w:val="auto"/>
                <w:sz w:val="22"/>
                <w:szCs w:val="22"/>
              </w:rPr>
            </w:pPr>
          </w:p>
        </w:tc>
        <w:tc>
          <w:tcPr>
            <w:tcW w:w="598" w:type="dxa"/>
            <w:vMerge w:val="continue"/>
            <w:noWrap w:val="0"/>
            <w:vAlign w:val="top"/>
          </w:tcPr>
          <w:p>
            <w:pPr>
              <w:jc w:val="left"/>
              <w:rPr>
                <w:rFonts w:ascii="宋体" w:hAnsi="宋体" w:cs="仿宋"/>
                <w:color w:val="auto"/>
                <w:sz w:val="22"/>
                <w:szCs w:val="22"/>
              </w:rPr>
            </w:pPr>
          </w:p>
        </w:tc>
        <w:tc>
          <w:tcPr>
            <w:tcW w:w="1316" w:type="dxa"/>
            <w:vMerge w:val="restart"/>
            <w:noWrap/>
            <w:vAlign w:val="top"/>
          </w:tcPr>
          <w:p>
            <w:pPr>
              <w:jc w:val="left"/>
              <w:rPr>
                <w:rFonts w:ascii="宋体" w:hAnsi="宋体" w:cs="仿宋"/>
                <w:color w:val="auto"/>
                <w:sz w:val="22"/>
                <w:szCs w:val="22"/>
              </w:rPr>
            </w:pPr>
            <w:r>
              <w:rPr>
                <w:rFonts w:hint="eastAsia" w:ascii="宋体" w:hAnsi="宋体" w:cs="仿宋"/>
                <w:color w:val="auto"/>
                <w:sz w:val="22"/>
                <w:szCs w:val="22"/>
              </w:rPr>
              <w:t>光污染控制</w:t>
            </w:r>
          </w:p>
        </w:tc>
        <w:tc>
          <w:tcPr>
            <w:tcW w:w="7016" w:type="dxa"/>
            <w:noWrap/>
            <w:vAlign w:val="top"/>
          </w:tcPr>
          <w:p>
            <w:pPr>
              <w:jc w:val="left"/>
              <w:rPr>
                <w:rFonts w:ascii="宋体" w:hAnsi="宋体" w:cs="仿宋"/>
                <w:color w:val="auto"/>
                <w:sz w:val="22"/>
                <w:szCs w:val="22"/>
              </w:rPr>
            </w:pPr>
            <w:r>
              <w:rPr>
                <w:rFonts w:hint="eastAsia" w:ascii="宋体" w:hAnsi="宋体" w:cs="仿宋"/>
                <w:color w:val="auto"/>
                <w:sz w:val="22"/>
                <w:szCs w:val="22"/>
              </w:rPr>
              <w:t>1.夜间室外照明灯加设灯罩，光照方向集中在施工范围内。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240" w:hRule="atLeast"/>
        </w:trPr>
        <w:tc>
          <w:tcPr>
            <w:tcW w:w="710" w:type="dxa"/>
            <w:vMerge w:val="continue"/>
            <w:noWrap w:val="0"/>
            <w:vAlign w:val="top"/>
          </w:tcPr>
          <w:p>
            <w:pPr>
              <w:jc w:val="left"/>
              <w:rPr>
                <w:rFonts w:ascii="宋体" w:hAnsi="宋体" w:cs="仿宋"/>
                <w:color w:val="auto"/>
                <w:sz w:val="22"/>
                <w:szCs w:val="22"/>
              </w:rPr>
            </w:pPr>
          </w:p>
        </w:tc>
        <w:tc>
          <w:tcPr>
            <w:tcW w:w="598" w:type="dxa"/>
            <w:vMerge w:val="continue"/>
            <w:noWrap w:val="0"/>
            <w:vAlign w:val="top"/>
          </w:tcPr>
          <w:p>
            <w:pPr>
              <w:jc w:val="left"/>
              <w:rPr>
                <w:rFonts w:ascii="宋体" w:hAnsi="宋体" w:cs="仿宋"/>
                <w:color w:val="auto"/>
                <w:sz w:val="22"/>
                <w:szCs w:val="22"/>
              </w:rPr>
            </w:pPr>
          </w:p>
        </w:tc>
        <w:tc>
          <w:tcPr>
            <w:tcW w:w="1316" w:type="dxa"/>
            <w:vMerge w:val="continue"/>
            <w:noWrap w:val="0"/>
            <w:vAlign w:val="top"/>
          </w:tcPr>
          <w:p>
            <w:pPr>
              <w:jc w:val="left"/>
              <w:rPr>
                <w:rFonts w:ascii="宋体" w:hAnsi="宋体" w:cs="仿宋"/>
                <w:color w:val="auto"/>
                <w:sz w:val="22"/>
                <w:szCs w:val="22"/>
              </w:rPr>
            </w:pPr>
          </w:p>
        </w:tc>
        <w:tc>
          <w:tcPr>
            <w:tcW w:w="7016" w:type="dxa"/>
            <w:noWrap w:val="0"/>
            <w:vAlign w:val="top"/>
          </w:tcPr>
          <w:p>
            <w:pPr>
              <w:jc w:val="left"/>
              <w:rPr>
                <w:rFonts w:ascii="宋体" w:hAnsi="宋体" w:cs="仿宋"/>
                <w:color w:val="auto"/>
                <w:sz w:val="22"/>
                <w:szCs w:val="22"/>
              </w:rPr>
            </w:pPr>
            <w:r>
              <w:rPr>
                <w:rFonts w:hint="eastAsia" w:ascii="宋体" w:hAnsi="宋体" w:cs="仿宋"/>
                <w:color w:val="auto"/>
                <w:sz w:val="22"/>
                <w:szCs w:val="22"/>
              </w:rPr>
              <w:t>2.灯具选择以日光型为主，尽量减少射灯及石英灯的使用。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240" w:hRule="atLeast"/>
        </w:trPr>
        <w:tc>
          <w:tcPr>
            <w:tcW w:w="710" w:type="dxa"/>
            <w:vMerge w:val="continue"/>
            <w:noWrap w:val="0"/>
            <w:vAlign w:val="top"/>
          </w:tcPr>
          <w:p>
            <w:pPr>
              <w:jc w:val="left"/>
              <w:rPr>
                <w:rFonts w:ascii="宋体" w:hAnsi="宋体" w:cs="仿宋"/>
                <w:color w:val="auto"/>
                <w:sz w:val="22"/>
                <w:szCs w:val="22"/>
              </w:rPr>
            </w:pPr>
          </w:p>
        </w:tc>
        <w:tc>
          <w:tcPr>
            <w:tcW w:w="598" w:type="dxa"/>
            <w:vMerge w:val="continue"/>
            <w:noWrap w:val="0"/>
            <w:vAlign w:val="top"/>
          </w:tcPr>
          <w:p>
            <w:pPr>
              <w:jc w:val="left"/>
              <w:rPr>
                <w:rFonts w:ascii="宋体" w:hAnsi="宋体" w:cs="仿宋"/>
                <w:color w:val="auto"/>
                <w:sz w:val="22"/>
                <w:szCs w:val="22"/>
              </w:rPr>
            </w:pPr>
          </w:p>
        </w:tc>
        <w:tc>
          <w:tcPr>
            <w:tcW w:w="1316" w:type="dxa"/>
            <w:vMerge w:val="continue"/>
            <w:noWrap w:val="0"/>
            <w:vAlign w:val="top"/>
          </w:tcPr>
          <w:p>
            <w:pPr>
              <w:jc w:val="left"/>
              <w:rPr>
                <w:rFonts w:ascii="宋体" w:hAnsi="宋体" w:cs="仿宋"/>
                <w:color w:val="auto"/>
                <w:sz w:val="22"/>
                <w:szCs w:val="22"/>
              </w:rPr>
            </w:pPr>
          </w:p>
        </w:tc>
        <w:tc>
          <w:tcPr>
            <w:tcW w:w="7016" w:type="dxa"/>
            <w:noWrap w:val="0"/>
            <w:vAlign w:val="top"/>
          </w:tcPr>
          <w:p>
            <w:pPr>
              <w:jc w:val="left"/>
              <w:rPr>
                <w:rFonts w:ascii="宋体" w:hAnsi="宋体" w:cs="仿宋"/>
                <w:color w:val="auto"/>
                <w:sz w:val="22"/>
                <w:szCs w:val="22"/>
              </w:rPr>
            </w:pPr>
            <w:r>
              <w:rPr>
                <w:rFonts w:hint="eastAsia" w:ascii="宋体" w:hAnsi="宋体" w:cs="仿宋"/>
                <w:color w:val="auto"/>
                <w:sz w:val="22"/>
                <w:szCs w:val="22"/>
              </w:rPr>
              <w:t>3.电焊作业采取遮挡措施，避免电焊弧光外泄。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240" w:hRule="atLeast"/>
        </w:trPr>
        <w:tc>
          <w:tcPr>
            <w:tcW w:w="710" w:type="dxa"/>
            <w:vMerge w:val="continue"/>
            <w:noWrap w:val="0"/>
            <w:vAlign w:val="top"/>
          </w:tcPr>
          <w:p>
            <w:pPr>
              <w:jc w:val="left"/>
              <w:rPr>
                <w:rFonts w:ascii="宋体" w:hAnsi="宋体" w:cs="仿宋"/>
                <w:color w:val="auto"/>
                <w:sz w:val="22"/>
                <w:szCs w:val="22"/>
              </w:rPr>
            </w:pPr>
          </w:p>
        </w:tc>
        <w:tc>
          <w:tcPr>
            <w:tcW w:w="598" w:type="dxa"/>
            <w:vMerge w:val="continue"/>
            <w:noWrap w:val="0"/>
            <w:vAlign w:val="top"/>
          </w:tcPr>
          <w:p>
            <w:pPr>
              <w:jc w:val="left"/>
              <w:rPr>
                <w:rFonts w:ascii="宋体" w:hAnsi="宋体" w:cs="仿宋"/>
                <w:color w:val="auto"/>
                <w:sz w:val="22"/>
                <w:szCs w:val="22"/>
              </w:rPr>
            </w:pPr>
          </w:p>
        </w:tc>
        <w:tc>
          <w:tcPr>
            <w:tcW w:w="1316" w:type="dxa"/>
            <w:vMerge w:val="restart"/>
            <w:noWrap/>
            <w:vAlign w:val="top"/>
          </w:tcPr>
          <w:p>
            <w:pPr>
              <w:jc w:val="left"/>
              <w:rPr>
                <w:rFonts w:ascii="宋体" w:hAnsi="宋体" w:cs="仿宋"/>
                <w:color w:val="auto"/>
                <w:sz w:val="22"/>
                <w:szCs w:val="22"/>
              </w:rPr>
            </w:pPr>
            <w:r>
              <w:rPr>
                <w:rFonts w:hint="eastAsia" w:ascii="宋体" w:hAnsi="宋体" w:cs="仿宋"/>
                <w:color w:val="auto"/>
                <w:sz w:val="22"/>
                <w:szCs w:val="22"/>
              </w:rPr>
              <w:t>水污染控制</w:t>
            </w:r>
          </w:p>
        </w:tc>
        <w:tc>
          <w:tcPr>
            <w:tcW w:w="7016" w:type="dxa"/>
            <w:noWrap w:val="0"/>
            <w:vAlign w:val="top"/>
          </w:tcPr>
          <w:p>
            <w:pPr>
              <w:jc w:val="left"/>
              <w:rPr>
                <w:rFonts w:ascii="宋体" w:hAnsi="宋体" w:cs="仿宋"/>
                <w:color w:val="auto"/>
                <w:sz w:val="22"/>
                <w:szCs w:val="22"/>
              </w:rPr>
            </w:pPr>
            <w:r>
              <w:rPr>
                <w:rFonts w:hint="eastAsia" w:ascii="宋体" w:hAnsi="宋体" w:cs="仿宋"/>
                <w:color w:val="auto"/>
                <w:sz w:val="22"/>
                <w:szCs w:val="22"/>
              </w:rPr>
              <w:t>1.施工现场污水排放符合《污水排入城镇下水道水质标准》的有关要求。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480" w:hRule="atLeast"/>
        </w:trPr>
        <w:tc>
          <w:tcPr>
            <w:tcW w:w="710" w:type="dxa"/>
            <w:vMerge w:val="continue"/>
            <w:noWrap w:val="0"/>
            <w:vAlign w:val="top"/>
          </w:tcPr>
          <w:p>
            <w:pPr>
              <w:jc w:val="left"/>
              <w:rPr>
                <w:rFonts w:ascii="宋体" w:hAnsi="宋体" w:cs="仿宋"/>
                <w:color w:val="auto"/>
                <w:sz w:val="22"/>
                <w:szCs w:val="22"/>
              </w:rPr>
            </w:pPr>
          </w:p>
        </w:tc>
        <w:tc>
          <w:tcPr>
            <w:tcW w:w="598" w:type="dxa"/>
            <w:vMerge w:val="continue"/>
            <w:noWrap w:val="0"/>
            <w:vAlign w:val="top"/>
          </w:tcPr>
          <w:p>
            <w:pPr>
              <w:jc w:val="left"/>
              <w:rPr>
                <w:rFonts w:ascii="宋体" w:hAnsi="宋体" w:cs="仿宋"/>
                <w:color w:val="auto"/>
                <w:sz w:val="22"/>
                <w:szCs w:val="22"/>
              </w:rPr>
            </w:pPr>
          </w:p>
        </w:tc>
        <w:tc>
          <w:tcPr>
            <w:tcW w:w="1316" w:type="dxa"/>
            <w:vMerge w:val="continue"/>
            <w:noWrap w:val="0"/>
            <w:vAlign w:val="top"/>
          </w:tcPr>
          <w:p>
            <w:pPr>
              <w:jc w:val="left"/>
              <w:rPr>
                <w:rFonts w:ascii="宋体" w:hAnsi="宋体" w:cs="仿宋"/>
                <w:color w:val="auto"/>
                <w:sz w:val="22"/>
                <w:szCs w:val="22"/>
              </w:rPr>
            </w:pPr>
          </w:p>
        </w:tc>
        <w:tc>
          <w:tcPr>
            <w:tcW w:w="7016" w:type="dxa"/>
            <w:noWrap w:val="0"/>
            <w:vAlign w:val="top"/>
          </w:tcPr>
          <w:p>
            <w:pPr>
              <w:jc w:val="left"/>
              <w:rPr>
                <w:rFonts w:ascii="宋体" w:hAnsi="宋体" w:cs="仿宋"/>
                <w:color w:val="auto"/>
                <w:sz w:val="22"/>
                <w:szCs w:val="22"/>
              </w:rPr>
            </w:pPr>
            <w:r>
              <w:rPr>
                <w:rFonts w:hint="eastAsia" w:ascii="宋体" w:hAnsi="宋体" w:cs="仿宋"/>
                <w:color w:val="auto"/>
                <w:sz w:val="22"/>
                <w:szCs w:val="22"/>
              </w:rPr>
              <w:t>2.在施工现场针对不同的污水，设置相应的处理设施，如隔油池、化粪池等，并做防渗处理及定期清洗，未经处理不得直接排入市政管道。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480" w:hRule="atLeast"/>
        </w:trPr>
        <w:tc>
          <w:tcPr>
            <w:tcW w:w="710" w:type="dxa"/>
            <w:vMerge w:val="continue"/>
            <w:noWrap w:val="0"/>
            <w:vAlign w:val="top"/>
          </w:tcPr>
          <w:p>
            <w:pPr>
              <w:jc w:val="left"/>
              <w:rPr>
                <w:rFonts w:ascii="宋体" w:hAnsi="宋体" w:cs="仿宋"/>
                <w:color w:val="auto"/>
                <w:sz w:val="22"/>
                <w:szCs w:val="22"/>
              </w:rPr>
            </w:pPr>
          </w:p>
        </w:tc>
        <w:tc>
          <w:tcPr>
            <w:tcW w:w="598" w:type="dxa"/>
            <w:vMerge w:val="continue"/>
            <w:noWrap w:val="0"/>
            <w:vAlign w:val="top"/>
          </w:tcPr>
          <w:p>
            <w:pPr>
              <w:jc w:val="left"/>
              <w:rPr>
                <w:rFonts w:ascii="宋体" w:hAnsi="宋体" w:cs="仿宋"/>
                <w:color w:val="auto"/>
                <w:sz w:val="22"/>
                <w:szCs w:val="22"/>
              </w:rPr>
            </w:pPr>
          </w:p>
        </w:tc>
        <w:tc>
          <w:tcPr>
            <w:tcW w:w="1316" w:type="dxa"/>
            <w:vMerge w:val="continue"/>
            <w:noWrap w:val="0"/>
            <w:vAlign w:val="top"/>
          </w:tcPr>
          <w:p>
            <w:pPr>
              <w:jc w:val="left"/>
              <w:rPr>
                <w:rFonts w:ascii="宋体" w:hAnsi="宋体" w:cs="仿宋"/>
                <w:color w:val="auto"/>
                <w:sz w:val="22"/>
                <w:szCs w:val="22"/>
              </w:rPr>
            </w:pPr>
          </w:p>
        </w:tc>
        <w:tc>
          <w:tcPr>
            <w:tcW w:w="7016" w:type="dxa"/>
            <w:noWrap w:val="0"/>
            <w:vAlign w:val="top"/>
          </w:tcPr>
          <w:p>
            <w:pPr>
              <w:jc w:val="left"/>
              <w:rPr>
                <w:rFonts w:ascii="宋体" w:hAnsi="宋体" w:cs="仿宋"/>
                <w:color w:val="auto"/>
                <w:sz w:val="22"/>
                <w:szCs w:val="22"/>
              </w:rPr>
            </w:pPr>
            <w:r>
              <w:rPr>
                <w:rFonts w:hint="eastAsia" w:ascii="宋体" w:hAnsi="宋体" w:cs="仿宋"/>
                <w:color w:val="auto"/>
                <w:sz w:val="22"/>
                <w:szCs w:val="22"/>
              </w:rPr>
              <w:t>3.对于化学溶剂等有毒材料、油料的储存地，设专门库房，地面做防渗漏处理，同时做好渗漏液收集和处理。废弃的油料和化学溶剂集中处理，不随意倾倒。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240" w:hRule="atLeast"/>
        </w:trPr>
        <w:tc>
          <w:tcPr>
            <w:tcW w:w="710" w:type="dxa"/>
            <w:vMerge w:val="continue"/>
            <w:noWrap w:val="0"/>
            <w:vAlign w:val="top"/>
          </w:tcPr>
          <w:p>
            <w:pPr>
              <w:jc w:val="left"/>
              <w:rPr>
                <w:rFonts w:ascii="宋体" w:hAnsi="宋体" w:cs="仿宋"/>
                <w:color w:val="auto"/>
                <w:sz w:val="22"/>
                <w:szCs w:val="22"/>
              </w:rPr>
            </w:pPr>
          </w:p>
        </w:tc>
        <w:tc>
          <w:tcPr>
            <w:tcW w:w="598" w:type="dxa"/>
            <w:vMerge w:val="continue"/>
            <w:noWrap w:val="0"/>
            <w:vAlign w:val="top"/>
          </w:tcPr>
          <w:p>
            <w:pPr>
              <w:jc w:val="left"/>
              <w:rPr>
                <w:rFonts w:ascii="宋体" w:hAnsi="宋体" w:cs="仿宋"/>
                <w:color w:val="auto"/>
                <w:sz w:val="22"/>
                <w:szCs w:val="22"/>
              </w:rPr>
            </w:pPr>
          </w:p>
        </w:tc>
        <w:tc>
          <w:tcPr>
            <w:tcW w:w="1316" w:type="dxa"/>
            <w:vMerge w:val="continue"/>
            <w:noWrap w:val="0"/>
            <w:vAlign w:val="top"/>
          </w:tcPr>
          <w:p>
            <w:pPr>
              <w:jc w:val="left"/>
              <w:rPr>
                <w:rFonts w:ascii="宋体" w:hAnsi="宋体" w:cs="仿宋"/>
                <w:color w:val="auto"/>
                <w:sz w:val="22"/>
                <w:szCs w:val="22"/>
              </w:rPr>
            </w:pPr>
          </w:p>
        </w:tc>
        <w:tc>
          <w:tcPr>
            <w:tcW w:w="7016" w:type="dxa"/>
            <w:noWrap w:val="0"/>
            <w:vAlign w:val="top"/>
          </w:tcPr>
          <w:p>
            <w:pPr>
              <w:jc w:val="left"/>
              <w:rPr>
                <w:rFonts w:ascii="宋体" w:hAnsi="宋体" w:cs="仿宋"/>
                <w:color w:val="auto"/>
                <w:sz w:val="22"/>
                <w:szCs w:val="22"/>
              </w:rPr>
            </w:pPr>
            <w:r>
              <w:rPr>
                <w:rFonts w:hint="eastAsia" w:ascii="宋体" w:hAnsi="宋体" w:cs="仿宋"/>
                <w:color w:val="auto"/>
                <w:sz w:val="22"/>
                <w:szCs w:val="22"/>
              </w:rPr>
              <w:t>4.易挥发、易污染的液态材料，使用密闭容器存放。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240" w:hRule="atLeast"/>
        </w:trPr>
        <w:tc>
          <w:tcPr>
            <w:tcW w:w="710" w:type="dxa"/>
            <w:vMerge w:val="continue"/>
            <w:noWrap w:val="0"/>
            <w:vAlign w:val="top"/>
          </w:tcPr>
          <w:p>
            <w:pPr>
              <w:jc w:val="left"/>
              <w:rPr>
                <w:rFonts w:ascii="宋体" w:hAnsi="宋体" w:cs="仿宋"/>
                <w:color w:val="auto"/>
                <w:sz w:val="22"/>
                <w:szCs w:val="22"/>
              </w:rPr>
            </w:pPr>
          </w:p>
        </w:tc>
        <w:tc>
          <w:tcPr>
            <w:tcW w:w="598" w:type="dxa"/>
            <w:vMerge w:val="continue"/>
            <w:noWrap w:val="0"/>
            <w:vAlign w:val="top"/>
          </w:tcPr>
          <w:p>
            <w:pPr>
              <w:jc w:val="left"/>
              <w:rPr>
                <w:rFonts w:ascii="宋体" w:hAnsi="宋体" w:cs="仿宋"/>
                <w:color w:val="auto"/>
                <w:sz w:val="22"/>
                <w:szCs w:val="22"/>
              </w:rPr>
            </w:pPr>
          </w:p>
        </w:tc>
        <w:tc>
          <w:tcPr>
            <w:tcW w:w="1316" w:type="dxa"/>
            <w:vMerge w:val="continue"/>
            <w:noWrap w:val="0"/>
            <w:vAlign w:val="top"/>
          </w:tcPr>
          <w:p>
            <w:pPr>
              <w:jc w:val="left"/>
              <w:rPr>
                <w:rFonts w:ascii="宋体" w:hAnsi="宋体" w:cs="仿宋"/>
                <w:color w:val="auto"/>
                <w:sz w:val="22"/>
                <w:szCs w:val="22"/>
              </w:rPr>
            </w:pPr>
          </w:p>
        </w:tc>
        <w:tc>
          <w:tcPr>
            <w:tcW w:w="7016" w:type="dxa"/>
            <w:noWrap w:val="0"/>
            <w:vAlign w:val="top"/>
          </w:tcPr>
          <w:p>
            <w:pPr>
              <w:jc w:val="left"/>
              <w:rPr>
                <w:rFonts w:ascii="宋体" w:hAnsi="宋体" w:cs="仿宋"/>
                <w:color w:val="auto"/>
                <w:sz w:val="22"/>
                <w:szCs w:val="22"/>
              </w:rPr>
            </w:pPr>
            <w:r>
              <w:rPr>
                <w:rFonts w:hint="eastAsia" w:ascii="宋体" w:hAnsi="宋体" w:cs="仿宋"/>
                <w:color w:val="auto"/>
                <w:sz w:val="22"/>
                <w:szCs w:val="22"/>
              </w:rPr>
              <w:t>5.施工现场雨水、污水分开排放、收集。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960" w:hRule="atLeast"/>
        </w:trPr>
        <w:tc>
          <w:tcPr>
            <w:tcW w:w="710" w:type="dxa"/>
            <w:vMerge w:val="continue"/>
            <w:noWrap w:val="0"/>
            <w:vAlign w:val="top"/>
          </w:tcPr>
          <w:p>
            <w:pPr>
              <w:jc w:val="left"/>
              <w:rPr>
                <w:rFonts w:ascii="宋体" w:hAnsi="宋体" w:cs="仿宋"/>
                <w:color w:val="auto"/>
                <w:sz w:val="22"/>
                <w:szCs w:val="22"/>
              </w:rPr>
            </w:pPr>
          </w:p>
        </w:tc>
        <w:tc>
          <w:tcPr>
            <w:tcW w:w="598" w:type="dxa"/>
            <w:vMerge w:val="continue"/>
            <w:noWrap w:val="0"/>
            <w:vAlign w:val="top"/>
          </w:tcPr>
          <w:p>
            <w:pPr>
              <w:jc w:val="left"/>
              <w:rPr>
                <w:rFonts w:ascii="宋体" w:hAnsi="宋体" w:cs="仿宋"/>
                <w:color w:val="auto"/>
                <w:sz w:val="22"/>
                <w:szCs w:val="22"/>
              </w:rPr>
            </w:pPr>
          </w:p>
        </w:tc>
        <w:tc>
          <w:tcPr>
            <w:tcW w:w="1316" w:type="dxa"/>
            <w:vMerge w:val="restart"/>
            <w:noWrap/>
            <w:vAlign w:val="top"/>
          </w:tcPr>
          <w:p>
            <w:pPr>
              <w:jc w:val="left"/>
              <w:rPr>
                <w:rFonts w:ascii="宋体" w:hAnsi="宋体" w:cs="仿宋"/>
                <w:color w:val="auto"/>
                <w:sz w:val="22"/>
                <w:szCs w:val="22"/>
              </w:rPr>
            </w:pPr>
            <w:r>
              <w:rPr>
                <w:rFonts w:hint="eastAsia" w:ascii="宋体" w:hAnsi="宋体" w:cs="仿宋"/>
                <w:color w:val="auto"/>
                <w:sz w:val="22"/>
                <w:szCs w:val="22"/>
              </w:rPr>
              <w:t>土壤保护</w:t>
            </w:r>
          </w:p>
        </w:tc>
        <w:tc>
          <w:tcPr>
            <w:tcW w:w="7016" w:type="dxa"/>
            <w:noWrap w:val="0"/>
            <w:vAlign w:val="top"/>
          </w:tcPr>
          <w:p>
            <w:pPr>
              <w:jc w:val="left"/>
              <w:rPr>
                <w:rFonts w:ascii="宋体" w:hAnsi="宋体" w:cs="仿宋"/>
                <w:color w:val="auto"/>
                <w:sz w:val="22"/>
                <w:szCs w:val="22"/>
              </w:rPr>
            </w:pPr>
            <w:r>
              <w:rPr>
                <w:rFonts w:hint="eastAsia" w:ascii="宋体" w:hAnsi="宋体" w:cs="仿宋"/>
                <w:color w:val="auto"/>
                <w:sz w:val="22"/>
                <w:szCs w:val="22"/>
              </w:rPr>
              <w:t>1.保护地表环境，防止土壤侵蚀、流失。非施工作业面的裸露土或临时存放的土堆闲置3个月内的，采用密目网或彩布进行覆盖、压实、洒水等降尘措施；裸露地面或临时存放的土堆闲置在3个月以上的，对其裸露泥地进行临时绿化或者铺装；因施工造成容易发生地表径流土壤流失的情况，采取设置地表排水系统、稳定斜坡、植被覆盖等措施，减少土壤流失。施工后恢复施工活动破坏的植被（一般指临时占地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240" w:hRule="atLeast"/>
        </w:trPr>
        <w:tc>
          <w:tcPr>
            <w:tcW w:w="710" w:type="dxa"/>
            <w:vMerge w:val="continue"/>
            <w:noWrap w:val="0"/>
            <w:vAlign w:val="top"/>
          </w:tcPr>
          <w:p>
            <w:pPr>
              <w:jc w:val="left"/>
              <w:rPr>
                <w:rFonts w:ascii="宋体" w:hAnsi="宋体" w:cs="仿宋"/>
                <w:color w:val="auto"/>
                <w:sz w:val="22"/>
                <w:szCs w:val="22"/>
              </w:rPr>
            </w:pPr>
          </w:p>
        </w:tc>
        <w:tc>
          <w:tcPr>
            <w:tcW w:w="598" w:type="dxa"/>
            <w:vMerge w:val="continue"/>
            <w:noWrap w:val="0"/>
            <w:vAlign w:val="top"/>
          </w:tcPr>
          <w:p>
            <w:pPr>
              <w:jc w:val="left"/>
              <w:rPr>
                <w:rFonts w:ascii="宋体" w:hAnsi="宋体" w:cs="仿宋"/>
                <w:color w:val="auto"/>
                <w:sz w:val="22"/>
                <w:szCs w:val="22"/>
              </w:rPr>
            </w:pPr>
          </w:p>
        </w:tc>
        <w:tc>
          <w:tcPr>
            <w:tcW w:w="1316" w:type="dxa"/>
            <w:vMerge w:val="continue"/>
            <w:noWrap w:val="0"/>
            <w:vAlign w:val="top"/>
          </w:tcPr>
          <w:p>
            <w:pPr>
              <w:jc w:val="left"/>
              <w:rPr>
                <w:rFonts w:ascii="宋体" w:hAnsi="宋体" w:cs="仿宋"/>
                <w:color w:val="auto"/>
                <w:sz w:val="22"/>
                <w:szCs w:val="22"/>
              </w:rPr>
            </w:pPr>
          </w:p>
        </w:tc>
        <w:tc>
          <w:tcPr>
            <w:tcW w:w="7016" w:type="dxa"/>
            <w:noWrap w:val="0"/>
            <w:vAlign w:val="top"/>
          </w:tcPr>
          <w:p>
            <w:pPr>
              <w:jc w:val="left"/>
              <w:rPr>
                <w:rFonts w:ascii="宋体" w:hAnsi="宋体" w:cs="仿宋"/>
                <w:color w:val="auto"/>
                <w:sz w:val="22"/>
                <w:szCs w:val="22"/>
              </w:rPr>
            </w:pPr>
            <w:r>
              <w:rPr>
                <w:rFonts w:hint="eastAsia" w:ascii="宋体" w:hAnsi="宋体" w:cs="仿宋"/>
                <w:color w:val="auto"/>
                <w:sz w:val="22"/>
                <w:szCs w:val="22"/>
              </w:rPr>
              <w:t>2.沉淀池、隔油池、化粪池等不发生堵塞、渗漏、溢出等现象，且及时清掏池内沉淀物，并委托有资质的单位清运。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480" w:hRule="atLeast"/>
        </w:trPr>
        <w:tc>
          <w:tcPr>
            <w:tcW w:w="710" w:type="dxa"/>
            <w:vMerge w:val="continue"/>
            <w:noWrap w:val="0"/>
            <w:vAlign w:val="top"/>
          </w:tcPr>
          <w:p>
            <w:pPr>
              <w:jc w:val="left"/>
              <w:rPr>
                <w:rFonts w:ascii="宋体" w:hAnsi="宋体" w:cs="仿宋"/>
                <w:color w:val="auto"/>
                <w:sz w:val="22"/>
                <w:szCs w:val="22"/>
              </w:rPr>
            </w:pPr>
          </w:p>
        </w:tc>
        <w:tc>
          <w:tcPr>
            <w:tcW w:w="598" w:type="dxa"/>
            <w:vMerge w:val="continue"/>
            <w:noWrap w:val="0"/>
            <w:vAlign w:val="top"/>
          </w:tcPr>
          <w:p>
            <w:pPr>
              <w:jc w:val="left"/>
              <w:rPr>
                <w:rFonts w:ascii="宋体" w:hAnsi="宋体" w:cs="仿宋"/>
                <w:color w:val="auto"/>
                <w:sz w:val="22"/>
                <w:szCs w:val="22"/>
              </w:rPr>
            </w:pPr>
          </w:p>
        </w:tc>
        <w:tc>
          <w:tcPr>
            <w:tcW w:w="1316" w:type="dxa"/>
            <w:vMerge w:val="continue"/>
            <w:noWrap w:val="0"/>
            <w:vAlign w:val="top"/>
          </w:tcPr>
          <w:p>
            <w:pPr>
              <w:jc w:val="left"/>
              <w:rPr>
                <w:rFonts w:ascii="宋体" w:hAnsi="宋体" w:cs="仿宋"/>
                <w:color w:val="auto"/>
                <w:sz w:val="22"/>
                <w:szCs w:val="22"/>
              </w:rPr>
            </w:pPr>
          </w:p>
        </w:tc>
        <w:tc>
          <w:tcPr>
            <w:tcW w:w="7016" w:type="dxa"/>
            <w:noWrap w:val="0"/>
            <w:vAlign w:val="top"/>
          </w:tcPr>
          <w:p>
            <w:pPr>
              <w:jc w:val="left"/>
              <w:rPr>
                <w:rFonts w:ascii="宋体" w:hAnsi="宋体" w:cs="仿宋"/>
                <w:color w:val="auto"/>
                <w:sz w:val="22"/>
                <w:szCs w:val="22"/>
              </w:rPr>
            </w:pPr>
            <w:r>
              <w:rPr>
                <w:rFonts w:hint="eastAsia" w:ascii="宋体" w:hAnsi="宋体" w:cs="仿宋"/>
                <w:color w:val="auto"/>
                <w:sz w:val="22"/>
                <w:szCs w:val="22"/>
              </w:rPr>
              <w:t>3.对于有毒有害废弃物如电池、墨盒、油漆、涂料等回收后，交有资质的单位处理，不能作为建筑垃圾外运，避免污染土壤和地下水。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240" w:hRule="atLeast"/>
        </w:trPr>
        <w:tc>
          <w:tcPr>
            <w:tcW w:w="710" w:type="dxa"/>
            <w:vMerge w:val="continue"/>
            <w:noWrap w:val="0"/>
            <w:vAlign w:val="top"/>
          </w:tcPr>
          <w:p>
            <w:pPr>
              <w:jc w:val="left"/>
              <w:rPr>
                <w:rFonts w:ascii="宋体" w:hAnsi="宋体" w:cs="仿宋"/>
                <w:color w:val="auto"/>
                <w:sz w:val="22"/>
                <w:szCs w:val="22"/>
              </w:rPr>
            </w:pPr>
          </w:p>
        </w:tc>
        <w:tc>
          <w:tcPr>
            <w:tcW w:w="598" w:type="dxa"/>
            <w:vMerge w:val="continue"/>
            <w:noWrap w:val="0"/>
            <w:vAlign w:val="top"/>
          </w:tcPr>
          <w:p>
            <w:pPr>
              <w:jc w:val="left"/>
              <w:rPr>
                <w:rFonts w:ascii="宋体" w:hAnsi="宋体" w:cs="仿宋"/>
                <w:color w:val="auto"/>
                <w:sz w:val="22"/>
                <w:szCs w:val="22"/>
              </w:rPr>
            </w:pPr>
          </w:p>
        </w:tc>
        <w:tc>
          <w:tcPr>
            <w:tcW w:w="1316" w:type="dxa"/>
            <w:vMerge w:val="continue"/>
            <w:noWrap w:val="0"/>
            <w:vAlign w:val="top"/>
          </w:tcPr>
          <w:p>
            <w:pPr>
              <w:jc w:val="left"/>
              <w:rPr>
                <w:rFonts w:ascii="宋体" w:hAnsi="宋体" w:cs="仿宋"/>
                <w:color w:val="auto"/>
                <w:sz w:val="22"/>
                <w:szCs w:val="22"/>
              </w:rPr>
            </w:pPr>
          </w:p>
        </w:tc>
        <w:tc>
          <w:tcPr>
            <w:tcW w:w="7016" w:type="dxa"/>
            <w:noWrap w:val="0"/>
            <w:vAlign w:val="top"/>
          </w:tcPr>
          <w:p>
            <w:pPr>
              <w:jc w:val="left"/>
              <w:rPr>
                <w:rFonts w:ascii="宋体" w:hAnsi="宋体" w:cs="仿宋"/>
                <w:color w:val="auto"/>
                <w:sz w:val="22"/>
                <w:szCs w:val="22"/>
              </w:rPr>
            </w:pPr>
            <w:r>
              <w:rPr>
                <w:rFonts w:hint="eastAsia" w:ascii="宋体" w:hAnsi="宋体" w:cs="仿宋"/>
                <w:color w:val="auto"/>
                <w:sz w:val="22"/>
                <w:szCs w:val="22"/>
              </w:rPr>
              <w:t>4.施工现场使用机油、黄油、柴油的设备或工艺工序，根据不同情况制定相应的防范措施。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480" w:hRule="atLeast"/>
        </w:trPr>
        <w:tc>
          <w:tcPr>
            <w:tcW w:w="710" w:type="dxa"/>
            <w:vMerge w:val="continue"/>
            <w:noWrap w:val="0"/>
            <w:vAlign w:val="top"/>
          </w:tcPr>
          <w:p>
            <w:pPr>
              <w:jc w:val="left"/>
              <w:rPr>
                <w:rFonts w:ascii="宋体" w:hAnsi="宋体" w:cs="仿宋"/>
                <w:color w:val="auto"/>
                <w:sz w:val="22"/>
                <w:szCs w:val="22"/>
              </w:rPr>
            </w:pPr>
          </w:p>
        </w:tc>
        <w:tc>
          <w:tcPr>
            <w:tcW w:w="598" w:type="dxa"/>
            <w:vMerge w:val="continue"/>
            <w:noWrap w:val="0"/>
            <w:vAlign w:val="top"/>
          </w:tcPr>
          <w:p>
            <w:pPr>
              <w:jc w:val="left"/>
              <w:rPr>
                <w:rFonts w:ascii="宋体" w:hAnsi="宋体" w:cs="仿宋"/>
                <w:color w:val="auto"/>
                <w:sz w:val="22"/>
                <w:szCs w:val="22"/>
              </w:rPr>
            </w:pPr>
          </w:p>
        </w:tc>
        <w:tc>
          <w:tcPr>
            <w:tcW w:w="1316" w:type="dxa"/>
            <w:vMerge w:val="restart"/>
            <w:noWrap w:val="0"/>
            <w:vAlign w:val="top"/>
          </w:tcPr>
          <w:p>
            <w:pPr>
              <w:jc w:val="left"/>
              <w:rPr>
                <w:rFonts w:ascii="宋体" w:hAnsi="宋体" w:cs="仿宋"/>
                <w:color w:val="auto"/>
                <w:sz w:val="22"/>
                <w:szCs w:val="22"/>
              </w:rPr>
            </w:pPr>
            <w:r>
              <w:rPr>
                <w:rFonts w:hint="eastAsia" w:ascii="宋体" w:hAnsi="宋体" w:cs="仿宋"/>
                <w:color w:val="auto"/>
                <w:sz w:val="22"/>
                <w:szCs w:val="22"/>
              </w:rPr>
              <w:t>建筑垃圾控制</w:t>
            </w:r>
          </w:p>
        </w:tc>
        <w:tc>
          <w:tcPr>
            <w:tcW w:w="7016" w:type="dxa"/>
            <w:noWrap w:val="0"/>
            <w:vAlign w:val="top"/>
          </w:tcPr>
          <w:p>
            <w:pPr>
              <w:jc w:val="left"/>
              <w:rPr>
                <w:rFonts w:ascii="宋体" w:hAnsi="宋体" w:cs="仿宋"/>
                <w:color w:val="auto"/>
                <w:sz w:val="22"/>
                <w:szCs w:val="22"/>
              </w:rPr>
            </w:pPr>
            <w:r>
              <w:rPr>
                <w:rFonts w:hint="eastAsia" w:ascii="宋体" w:hAnsi="宋体" w:cs="仿宋"/>
                <w:color w:val="auto"/>
                <w:sz w:val="22"/>
                <w:szCs w:val="22"/>
              </w:rPr>
              <w:t>1.建筑垃圾的回收利用符合现行国家标准《工程施工废弃物再生利用技术规范》GB/T50743的规定。建筑垃圾的回收及再利用情况及时分析，并将结果公示，发现与目标值偏差较大时，及时采取纠正措施。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480" w:hRule="atLeast"/>
        </w:trPr>
        <w:tc>
          <w:tcPr>
            <w:tcW w:w="710" w:type="dxa"/>
            <w:vMerge w:val="continue"/>
            <w:noWrap w:val="0"/>
            <w:vAlign w:val="top"/>
          </w:tcPr>
          <w:p>
            <w:pPr>
              <w:jc w:val="left"/>
              <w:rPr>
                <w:rFonts w:ascii="宋体" w:hAnsi="宋体" w:cs="仿宋"/>
                <w:color w:val="auto"/>
                <w:sz w:val="22"/>
                <w:szCs w:val="22"/>
              </w:rPr>
            </w:pPr>
          </w:p>
        </w:tc>
        <w:tc>
          <w:tcPr>
            <w:tcW w:w="598" w:type="dxa"/>
            <w:vMerge w:val="continue"/>
            <w:noWrap w:val="0"/>
            <w:vAlign w:val="top"/>
          </w:tcPr>
          <w:p>
            <w:pPr>
              <w:jc w:val="left"/>
              <w:rPr>
                <w:rFonts w:ascii="宋体" w:hAnsi="宋体" w:cs="仿宋"/>
                <w:color w:val="auto"/>
                <w:sz w:val="22"/>
                <w:szCs w:val="22"/>
              </w:rPr>
            </w:pPr>
          </w:p>
        </w:tc>
        <w:tc>
          <w:tcPr>
            <w:tcW w:w="1316" w:type="dxa"/>
            <w:vMerge w:val="continue"/>
            <w:noWrap w:val="0"/>
            <w:vAlign w:val="top"/>
          </w:tcPr>
          <w:p>
            <w:pPr>
              <w:jc w:val="left"/>
              <w:rPr>
                <w:rFonts w:ascii="宋体" w:hAnsi="宋体" w:cs="仿宋"/>
                <w:color w:val="auto"/>
                <w:sz w:val="22"/>
                <w:szCs w:val="22"/>
              </w:rPr>
            </w:pPr>
          </w:p>
        </w:tc>
        <w:tc>
          <w:tcPr>
            <w:tcW w:w="7016" w:type="dxa"/>
            <w:noWrap w:val="0"/>
            <w:vAlign w:val="top"/>
          </w:tcPr>
          <w:p>
            <w:pPr>
              <w:jc w:val="left"/>
              <w:rPr>
                <w:rFonts w:ascii="宋体" w:hAnsi="宋体" w:cs="仿宋"/>
                <w:color w:val="auto"/>
                <w:sz w:val="22"/>
                <w:szCs w:val="22"/>
              </w:rPr>
            </w:pPr>
            <w:r>
              <w:rPr>
                <w:rFonts w:hint="eastAsia" w:ascii="宋体" w:hAnsi="宋体" w:cs="仿宋"/>
                <w:color w:val="auto"/>
                <w:sz w:val="22"/>
                <w:szCs w:val="22"/>
              </w:rPr>
              <w:t>2.施工现场生活区设置封闭式垃圾容器，施工场地生活垃圾实行袋装化，及时清运。对建筑垃圾进行分类，并收集到现场围蔽式垃圾站。生活区、办公区垃圾不与建筑垃圾混合运输、消纳。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240" w:hRule="atLeast"/>
        </w:trPr>
        <w:tc>
          <w:tcPr>
            <w:tcW w:w="710" w:type="dxa"/>
            <w:vMerge w:val="continue"/>
            <w:noWrap w:val="0"/>
            <w:vAlign w:val="top"/>
          </w:tcPr>
          <w:p>
            <w:pPr>
              <w:jc w:val="left"/>
              <w:rPr>
                <w:rFonts w:ascii="宋体" w:hAnsi="宋体" w:cs="仿宋"/>
                <w:color w:val="auto"/>
                <w:sz w:val="22"/>
                <w:szCs w:val="22"/>
              </w:rPr>
            </w:pPr>
          </w:p>
        </w:tc>
        <w:tc>
          <w:tcPr>
            <w:tcW w:w="598" w:type="dxa"/>
            <w:vMerge w:val="continue"/>
            <w:noWrap w:val="0"/>
            <w:vAlign w:val="top"/>
          </w:tcPr>
          <w:p>
            <w:pPr>
              <w:jc w:val="left"/>
              <w:rPr>
                <w:rFonts w:ascii="宋体" w:hAnsi="宋体" w:cs="仿宋"/>
                <w:color w:val="auto"/>
                <w:sz w:val="22"/>
                <w:szCs w:val="22"/>
              </w:rPr>
            </w:pPr>
          </w:p>
        </w:tc>
        <w:tc>
          <w:tcPr>
            <w:tcW w:w="1316" w:type="dxa"/>
            <w:vMerge w:val="continue"/>
            <w:noWrap w:val="0"/>
            <w:vAlign w:val="top"/>
          </w:tcPr>
          <w:p>
            <w:pPr>
              <w:jc w:val="left"/>
              <w:rPr>
                <w:rFonts w:ascii="宋体" w:hAnsi="宋体" w:cs="仿宋"/>
                <w:color w:val="auto"/>
                <w:sz w:val="22"/>
                <w:szCs w:val="22"/>
              </w:rPr>
            </w:pPr>
          </w:p>
        </w:tc>
        <w:tc>
          <w:tcPr>
            <w:tcW w:w="7016" w:type="dxa"/>
            <w:noWrap w:val="0"/>
            <w:vAlign w:val="top"/>
          </w:tcPr>
          <w:p>
            <w:pPr>
              <w:jc w:val="left"/>
              <w:rPr>
                <w:rFonts w:ascii="宋体" w:hAnsi="宋体" w:cs="仿宋"/>
                <w:color w:val="auto"/>
                <w:sz w:val="22"/>
                <w:szCs w:val="22"/>
              </w:rPr>
            </w:pPr>
            <w:r>
              <w:rPr>
                <w:rFonts w:hint="eastAsia" w:ascii="宋体" w:hAnsi="宋体" w:cs="仿宋"/>
                <w:color w:val="auto"/>
                <w:sz w:val="22"/>
                <w:szCs w:val="22"/>
              </w:rPr>
              <w:t>3.有毒有害废弃物的分类达到100%;对有可能造成二次污染的废弃物单独储存，并设置醒目标识。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480" w:hRule="atLeast"/>
        </w:trPr>
        <w:tc>
          <w:tcPr>
            <w:tcW w:w="710" w:type="dxa"/>
            <w:vMerge w:val="continue"/>
            <w:noWrap w:val="0"/>
            <w:vAlign w:val="top"/>
          </w:tcPr>
          <w:p>
            <w:pPr>
              <w:jc w:val="left"/>
              <w:rPr>
                <w:rFonts w:ascii="宋体" w:hAnsi="宋体" w:cs="仿宋"/>
                <w:color w:val="auto"/>
                <w:sz w:val="22"/>
                <w:szCs w:val="22"/>
              </w:rPr>
            </w:pPr>
          </w:p>
        </w:tc>
        <w:tc>
          <w:tcPr>
            <w:tcW w:w="598" w:type="dxa"/>
            <w:vMerge w:val="continue"/>
            <w:noWrap w:val="0"/>
            <w:vAlign w:val="top"/>
          </w:tcPr>
          <w:p>
            <w:pPr>
              <w:jc w:val="left"/>
              <w:rPr>
                <w:rFonts w:ascii="宋体" w:hAnsi="宋体" w:cs="仿宋"/>
                <w:color w:val="auto"/>
                <w:sz w:val="22"/>
                <w:szCs w:val="22"/>
              </w:rPr>
            </w:pPr>
          </w:p>
        </w:tc>
        <w:tc>
          <w:tcPr>
            <w:tcW w:w="1316" w:type="dxa"/>
            <w:vMerge w:val="restart"/>
            <w:noWrap w:val="0"/>
            <w:vAlign w:val="top"/>
          </w:tcPr>
          <w:p>
            <w:pPr>
              <w:jc w:val="left"/>
              <w:rPr>
                <w:rFonts w:ascii="宋体" w:hAnsi="宋体" w:cs="仿宋"/>
                <w:color w:val="auto"/>
                <w:sz w:val="22"/>
                <w:szCs w:val="22"/>
              </w:rPr>
            </w:pPr>
            <w:r>
              <w:rPr>
                <w:rFonts w:hint="eastAsia" w:ascii="宋体" w:hAnsi="宋体" w:cs="仿宋"/>
                <w:color w:val="auto"/>
                <w:sz w:val="22"/>
                <w:szCs w:val="22"/>
              </w:rPr>
              <w:t>地下和周边设施、文物和资源保护</w:t>
            </w:r>
          </w:p>
        </w:tc>
        <w:tc>
          <w:tcPr>
            <w:tcW w:w="7016" w:type="dxa"/>
            <w:noWrap w:val="0"/>
            <w:vAlign w:val="top"/>
          </w:tcPr>
          <w:p>
            <w:pPr>
              <w:jc w:val="left"/>
              <w:rPr>
                <w:rFonts w:ascii="宋体" w:hAnsi="宋体" w:cs="仿宋"/>
                <w:color w:val="auto"/>
                <w:sz w:val="22"/>
                <w:szCs w:val="22"/>
              </w:rPr>
            </w:pPr>
            <w:r>
              <w:rPr>
                <w:rFonts w:hint="eastAsia" w:ascii="宋体" w:hAnsi="宋体" w:cs="仿宋"/>
                <w:color w:val="auto"/>
                <w:sz w:val="22"/>
                <w:szCs w:val="22"/>
              </w:rPr>
              <w:t>1.施工前调査清楚地下及周边各种设施，制定专项施工方案，设置明显的、不易被破坏的施工现场管线保护标识，做好保护计划，保证施工场地地下及周边的各类管道、管线、建筑物、构筑物的安全运行。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480" w:hRule="atLeast"/>
        </w:trPr>
        <w:tc>
          <w:tcPr>
            <w:tcW w:w="710" w:type="dxa"/>
            <w:vMerge w:val="continue"/>
            <w:noWrap w:val="0"/>
            <w:vAlign w:val="top"/>
          </w:tcPr>
          <w:p>
            <w:pPr>
              <w:jc w:val="left"/>
              <w:rPr>
                <w:rFonts w:ascii="宋体" w:hAnsi="宋体" w:cs="仿宋"/>
                <w:color w:val="auto"/>
                <w:sz w:val="22"/>
                <w:szCs w:val="22"/>
              </w:rPr>
            </w:pPr>
          </w:p>
        </w:tc>
        <w:tc>
          <w:tcPr>
            <w:tcW w:w="598" w:type="dxa"/>
            <w:vMerge w:val="continue"/>
            <w:noWrap w:val="0"/>
            <w:vAlign w:val="top"/>
          </w:tcPr>
          <w:p>
            <w:pPr>
              <w:jc w:val="left"/>
              <w:rPr>
                <w:rFonts w:ascii="宋体" w:hAnsi="宋体" w:cs="仿宋"/>
                <w:color w:val="auto"/>
                <w:sz w:val="22"/>
                <w:szCs w:val="22"/>
              </w:rPr>
            </w:pPr>
          </w:p>
        </w:tc>
        <w:tc>
          <w:tcPr>
            <w:tcW w:w="1316" w:type="dxa"/>
            <w:vMerge w:val="continue"/>
            <w:noWrap w:val="0"/>
            <w:vAlign w:val="top"/>
          </w:tcPr>
          <w:p>
            <w:pPr>
              <w:jc w:val="left"/>
              <w:rPr>
                <w:rFonts w:ascii="宋体" w:hAnsi="宋体" w:cs="仿宋"/>
                <w:color w:val="auto"/>
                <w:sz w:val="22"/>
                <w:szCs w:val="22"/>
              </w:rPr>
            </w:pPr>
          </w:p>
        </w:tc>
        <w:tc>
          <w:tcPr>
            <w:tcW w:w="7016" w:type="dxa"/>
            <w:noWrap w:val="0"/>
            <w:vAlign w:val="top"/>
          </w:tcPr>
          <w:p>
            <w:pPr>
              <w:jc w:val="left"/>
              <w:rPr>
                <w:rFonts w:ascii="宋体" w:hAnsi="宋体" w:cs="仿宋"/>
                <w:color w:val="auto"/>
                <w:sz w:val="22"/>
                <w:szCs w:val="22"/>
              </w:rPr>
            </w:pPr>
            <w:r>
              <w:rPr>
                <w:rFonts w:hint="eastAsia" w:ascii="宋体" w:hAnsi="宋体" w:cs="仿宋"/>
                <w:color w:val="auto"/>
                <w:sz w:val="22"/>
                <w:szCs w:val="22"/>
              </w:rPr>
              <w:t>2.指定地下管线保护责任人并落实相关责任，做好地下管线安全保护技术交底，对可能损害地下管线的施工作业，采取跟班作业，现场指导。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480" w:hRule="atLeast"/>
        </w:trPr>
        <w:tc>
          <w:tcPr>
            <w:tcW w:w="710" w:type="dxa"/>
            <w:vMerge w:val="continue"/>
            <w:noWrap w:val="0"/>
            <w:vAlign w:val="top"/>
          </w:tcPr>
          <w:p>
            <w:pPr>
              <w:jc w:val="left"/>
              <w:rPr>
                <w:rFonts w:ascii="宋体" w:hAnsi="宋体" w:cs="仿宋"/>
                <w:color w:val="auto"/>
                <w:sz w:val="22"/>
                <w:szCs w:val="22"/>
              </w:rPr>
            </w:pPr>
          </w:p>
        </w:tc>
        <w:tc>
          <w:tcPr>
            <w:tcW w:w="598" w:type="dxa"/>
            <w:vMerge w:val="continue"/>
            <w:noWrap w:val="0"/>
            <w:vAlign w:val="top"/>
          </w:tcPr>
          <w:p>
            <w:pPr>
              <w:jc w:val="left"/>
              <w:rPr>
                <w:rFonts w:ascii="宋体" w:hAnsi="宋体" w:cs="仿宋"/>
                <w:color w:val="auto"/>
                <w:sz w:val="22"/>
                <w:szCs w:val="22"/>
              </w:rPr>
            </w:pPr>
          </w:p>
        </w:tc>
        <w:tc>
          <w:tcPr>
            <w:tcW w:w="1316" w:type="dxa"/>
            <w:vMerge w:val="continue"/>
            <w:noWrap w:val="0"/>
            <w:vAlign w:val="top"/>
          </w:tcPr>
          <w:p>
            <w:pPr>
              <w:jc w:val="left"/>
              <w:rPr>
                <w:rFonts w:ascii="宋体" w:hAnsi="宋体" w:cs="仿宋"/>
                <w:color w:val="auto"/>
                <w:sz w:val="22"/>
                <w:szCs w:val="22"/>
              </w:rPr>
            </w:pPr>
          </w:p>
        </w:tc>
        <w:tc>
          <w:tcPr>
            <w:tcW w:w="7016" w:type="dxa"/>
            <w:noWrap w:val="0"/>
            <w:vAlign w:val="top"/>
          </w:tcPr>
          <w:p>
            <w:pPr>
              <w:jc w:val="left"/>
              <w:rPr>
                <w:rFonts w:ascii="宋体" w:hAnsi="宋体" w:cs="仿宋"/>
                <w:color w:val="auto"/>
                <w:sz w:val="22"/>
                <w:szCs w:val="22"/>
              </w:rPr>
            </w:pPr>
            <w:r>
              <w:rPr>
                <w:rFonts w:hint="eastAsia" w:ascii="宋体" w:hAnsi="宋体" w:cs="仿宋"/>
                <w:color w:val="auto"/>
                <w:sz w:val="22"/>
                <w:szCs w:val="22"/>
              </w:rPr>
              <w:t>3.涉及油气等危险化学品、高压电缆、给水主管及大型排水箱涵等地下管线施工作业前，书面通知建设单位协调相关管线权属单位指派专人到现场监护和指导。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240" w:hRule="atLeast"/>
        </w:trPr>
        <w:tc>
          <w:tcPr>
            <w:tcW w:w="710" w:type="dxa"/>
            <w:vMerge w:val="continue"/>
            <w:noWrap w:val="0"/>
            <w:vAlign w:val="top"/>
          </w:tcPr>
          <w:p>
            <w:pPr>
              <w:jc w:val="left"/>
              <w:rPr>
                <w:rFonts w:ascii="宋体" w:hAnsi="宋体" w:cs="仿宋"/>
                <w:color w:val="auto"/>
                <w:sz w:val="22"/>
                <w:szCs w:val="22"/>
              </w:rPr>
            </w:pPr>
          </w:p>
        </w:tc>
        <w:tc>
          <w:tcPr>
            <w:tcW w:w="598" w:type="dxa"/>
            <w:vMerge w:val="continue"/>
            <w:noWrap w:val="0"/>
            <w:vAlign w:val="top"/>
          </w:tcPr>
          <w:p>
            <w:pPr>
              <w:jc w:val="left"/>
              <w:rPr>
                <w:rFonts w:ascii="宋体" w:hAnsi="宋体" w:cs="仿宋"/>
                <w:color w:val="auto"/>
                <w:sz w:val="22"/>
                <w:szCs w:val="22"/>
              </w:rPr>
            </w:pPr>
          </w:p>
        </w:tc>
        <w:tc>
          <w:tcPr>
            <w:tcW w:w="1316" w:type="dxa"/>
            <w:vMerge w:val="continue"/>
            <w:noWrap w:val="0"/>
            <w:vAlign w:val="top"/>
          </w:tcPr>
          <w:p>
            <w:pPr>
              <w:jc w:val="left"/>
              <w:rPr>
                <w:rFonts w:ascii="宋体" w:hAnsi="宋体" w:cs="仿宋"/>
                <w:color w:val="auto"/>
                <w:sz w:val="22"/>
                <w:szCs w:val="22"/>
              </w:rPr>
            </w:pPr>
          </w:p>
        </w:tc>
        <w:tc>
          <w:tcPr>
            <w:tcW w:w="7016" w:type="dxa"/>
            <w:noWrap w:val="0"/>
            <w:vAlign w:val="top"/>
          </w:tcPr>
          <w:p>
            <w:pPr>
              <w:jc w:val="left"/>
              <w:rPr>
                <w:rFonts w:ascii="宋体" w:hAnsi="宋体" w:cs="仿宋"/>
                <w:color w:val="auto"/>
                <w:sz w:val="22"/>
                <w:szCs w:val="22"/>
              </w:rPr>
            </w:pPr>
            <w:r>
              <w:rPr>
                <w:rFonts w:hint="eastAsia" w:ascii="宋体" w:hAnsi="宋体" w:cs="仿宋"/>
                <w:color w:val="auto"/>
                <w:sz w:val="22"/>
                <w:szCs w:val="22"/>
              </w:rPr>
              <w:t>4.施工过程中一旦发现文物古迹，立即停止施工，保护现场及通报文物部门并协助做好相关工作。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240" w:hRule="atLeast"/>
        </w:trPr>
        <w:tc>
          <w:tcPr>
            <w:tcW w:w="710" w:type="dxa"/>
            <w:vMerge w:val="continue"/>
            <w:noWrap w:val="0"/>
            <w:vAlign w:val="top"/>
          </w:tcPr>
          <w:p>
            <w:pPr>
              <w:jc w:val="left"/>
              <w:rPr>
                <w:rFonts w:ascii="宋体" w:hAnsi="宋体" w:cs="仿宋"/>
                <w:color w:val="auto"/>
                <w:sz w:val="22"/>
                <w:szCs w:val="22"/>
              </w:rPr>
            </w:pPr>
          </w:p>
        </w:tc>
        <w:tc>
          <w:tcPr>
            <w:tcW w:w="598" w:type="dxa"/>
            <w:vMerge w:val="continue"/>
            <w:noWrap w:val="0"/>
            <w:vAlign w:val="top"/>
          </w:tcPr>
          <w:p>
            <w:pPr>
              <w:jc w:val="left"/>
              <w:rPr>
                <w:rFonts w:ascii="宋体" w:hAnsi="宋体" w:cs="仿宋"/>
                <w:color w:val="auto"/>
                <w:sz w:val="22"/>
                <w:szCs w:val="22"/>
              </w:rPr>
            </w:pPr>
          </w:p>
        </w:tc>
        <w:tc>
          <w:tcPr>
            <w:tcW w:w="1316" w:type="dxa"/>
            <w:vMerge w:val="continue"/>
            <w:noWrap w:val="0"/>
            <w:vAlign w:val="top"/>
          </w:tcPr>
          <w:p>
            <w:pPr>
              <w:jc w:val="left"/>
              <w:rPr>
                <w:rFonts w:ascii="宋体" w:hAnsi="宋体" w:cs="仿宋"/>
                <w:color w:val="auto"/>
                <w:sz w:val="22"/>
                <w:szCs w:val="22"/>
              </w:rPr>
            </w:pPr>
          </w:p>
        </w:tc>
        <w:tc>
          <w:tcPr>
            <w:tcW w:w="7016" w:type="dxa"/>
            <w:noWrap w:val="0"/>
            <w:vAlign w:val="top"/>
          </w:tcPr>
          <w:p>
            <w:pPr>
              <w:jc w:val="left"/>
              <w:rPr>
                <w:rFonts w:ascii="宋体" w:hAnsi="宋体" w:cs="仿宋"/>
                <w:color w:val="auto"/>
                <w:sz w:val="22"/>
                <w:szCs w:val="22"/>
              </w:rPr>
            </w:pPr>
            <w:r>
              <w:rPr>
                <w:rFonts w:hint="eastAsia" w:ascii="宋体" w:hAnsi="宋体" w:cs="仿宋"/>
                <w:color w:val="auto"/>
                <w:sz w:val="22"/>
                <w:szCs w:val="22"/>
              </w:rPr>
              <w:t>5.避让、保护施工场区及周边的古树名木。</w:t>
            </w:r>
          </w:p>
        </w:tc>
      </w:tr>
    </w:tbl>
    <w:p>
      <w:pPr>
        <w:rPr>
          <w:rFonts w:ascii="宋体" w:hAnsi="宋体"/>
          <w:color w:val="auto"/>
          <w:sz w:val="22"/>
          <w:szCs w:val="22"/>
        </w:rPr>
      </w:pPr>
    </w:p>
    <w:p>
      <w:pPr>
        <w:rPr>
          <w:rFonts w:hint="eastAsia" w:ascii="宋体" w:hAnsi="宋体"/>
          <w:color w:val="auto"/>
          <w:sz w:val="22"/>
          <w:szCs w:val="22"/>
        </w:rPr>
      </w:pPr>
      <w:r>
        <w:rPr>
          <w:rFonts w:ascii="宋体" w:hAnsi="宋体"/>
          <w:color w:val="auto"/>
          <w:sz w:val="22"/>
          <w:szCs w:val="22"/>
        </w:rPr>
        <w:br w:type="page"/>
      </w:r>
      <w:r>
        <w:rPr>
          <w:rFonts w:ascii="宋体" w:hAnsi="宋体"/>
          <w:color w:val="auto"/>
          <w:sz w:val="24"/>
        </w:rPr>
        <w:t xml:space="preserve"> </w:t>
      </w:r>
      <w:r>
        <w:rPr>
          <w:rFonts w:hint="eastAsia" w:ascii="宋体" w:hAnsi="宋体"/>
          <w:color w:val="auto"/>
          <w:sz w:val="22"/>
          <w:szCs w:val="22"/>
        </w:rPr>
        <w:t>附件六：</w:t>
      </w:r>
      <w:r>
        <w:rPr>
          <w:rFonts w:hint="eastAsia" w:ascii="宋体" w:hAnsi="宋体"/>
          <w:color w:val="auto"/>
          <w:sz w:val="22"/>
          <w:szCs w:val="22"/>
        </w:rPr>
        <w:t>乙方主要施工管理人员表</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4"/>
        <w:gridCol w:w="1417"/>
        <w:gridCol w:w="1134"/>
        <w:gridCol w:w="3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2694" w:type="dxa"/>
            <w:noWrap w:val="0"/>
            <w:vAlign w:val="top"/>
          </w:tcPr>
          <w:p>
            <w:pPr>
              <w:spacing w:line="360" w:lineRule="auto"/>
              <w:jc w:val="center"/>
              <w:rPr>
                <w:rFonts w:hint="eastAsia" w:ascii="宋体" w:hAnsi="宋体"/>
                <w:color w:val="auto"/>
                <w:sz w:val="22"/>
                <w:szCs w:val="22"/>
              </w:rPr>
            </w:pPr>
            <w:r>
              <w:rPr>
                <w:rFonts w:hint="eastAsia" w:ascii="宋体" w:hAnsi="宋体"/>
                <w:color w:val="auto"/>
                <w:sz w:val="22"/>
                <w:szCs w:val="22"/>
              </w:rPr>
              <w:t>岗位类别</w:t>
            </w:r>
          </w:p>
        </w:tc>
        <w:tc>
          <w:tcPr>
            <w:tcW w:w="1417" w:type="dxa"/>
            <w:noWrap w:val="0"/>
            <w:vAlign w:val="top"/>
          </w:tcPr>
          <w:p>
            <w:pPr>
              <w:spacing w:line="360" w:lineRule="auto"/>
              <w:jc w:val="center"/>
              <w:rPr>
                <w:rFonts w:hint="eastAsia" w:ascii="宋体" w:hAnsi="宋体"/>
                <w:color w:val="auto"/>
                <w:sz w:val="22"/>
                <w:szCs w:val="22"/>
              </w:rPr>
            </w:pPr>
            <w:r>
              <w:rPr>
                <w:rFonts w:hint="eastAsia" w:ascii="宋体" w:hAnsi="宋体"/>
                <w:color w:val="auto"/>
                <w:sz w:val="22"/>
                <w:szCs w:val="22"/>
              </w:rPr>
              <w:t>姓名</w:t>
            </w:r>
          </w:p>
        </w:tc>
        <w:tc>
          <w:tcPr>
            <w:tcW w:w="1134" w:type="dxa"/>
            <w:noWrap w:val="0"/>
            <w:vAlign w:val="top"/>
          </w:tcPr>
          <w:p>
            <w:pPr>
              <w:spacing w:line="360" w:lineRule="auto"/>
              <w:jc w:val="center"/>
              <w:rPr>
                <w:rFonts w:hint="eastAsia" w:ascii="宋体" w:hAnsi="宋体"/>
                <w:color w:val="auto"/>
                <w:sz w:val="22"/>
                <w:szCs w:val="22"/>
              </w:rPr>
            </w:pPr>
            <w:r>
              <w:rPr>
                <w:rFonts w:hint="eastAsia" w:ascii="宋体" w:hAnsi="宋体"/>
                <w:color w:val="auto"/>
                <w:sz w:val="22"/>
                <w:szCs w:val="22"/>
              </w:rPr>
              <w:t>性别</w:t>
            </w:r>
          </w:p>
        </w:tc>
        <w:tc>
          <w:tcPr>
            <w:tcW w:w="3260" w:type="dxa"/>
            <w:noWrap w:val="0"/>
            <w:vAlign w:val="top"/>
          </w:tcPr>
          <w:p>
            <w:pPr>
              <w:spacing w:line="360" w:lineRule="auto"/>
              <w:jc w:val="center"/>
              <w:rPr>
                <w:rFonts w:hint="eastAsia" w:ascii="宋体" w:hAnsi="宋体"/>
                <w:color w:val="auto"/>
                <w:sz w:val="22"/>
                <w:szCs w:val="22"/>
              </w:rPr>
            </w:pPr>
            <w:r>
              <w:rPr>
                <w:rFonts w:hint="eastAsia" w:ascii="宋体" w:hAnsi="宋体"/>
                <w:color w:val="auto"/>
                <w:sz w:val="22"/>
                <w:szCs w:val="22"/>
              </w:rPr>
              <w:t>联系方式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2694" w:type="dxa"/>
            <w:noWrap w:val="0"/>
            <w:vAlign w:val="center"/>
          </w:tcPr>
          <w:p>
            <w:pPr>
              <w:jc w:val="center"/>
              <w:rPr>
                <w:rFonts w:hint="eastAsia" w:ascii="宋体" w:hAnsi="宋体"/>
                <w:color w:val="auto"/>
                <w:sz w:val="22"/>
                <w:szCs w:val="22"/>
              </w:rPr>
            </w:pPr>
            <w:r>
              <w:rPr>
                <w:rFonts w:hint="eastAsia" w:ascii="宋体" w:hAnsi="宋体"/>
                <w:color w:val="auto"/>
                <w:sz w:val="22"/>
                <w:szCs w:val="22"/>
              </w:rPr>
              <w:t>项目负责人/技术负责人</w:t>
            </w:r>
          </w:p>
        </w:tc>
        <w:tc>
          <w:tcPr>
            <w:tcW w:w="1417" w:type="dxa"/>
            <w:noWrap w:val="0"/>
            <w:vAlign w:val="top"/>
          </w:tcPr>
          <w:p>
            <w:pPr>
              <w:spacing w:line="360" w:lineRule="auto"/>
              <w:rPr>
                <w:rFonts w:hint="eastAsia" w:ascii="宋体" w:hAnsi="宋体"/>
                <w:color w:val="auto"/>
                <w:sz w:val="22"/>
                <w:szCs w:val="22"/>
              </w:rPr>
            </w:pPr>
          </w:p>
        </w:tc>
        <w:tc>
          <w:tcPr>
            <w:tcW w:w="1134" w:type="dxa"/>
            <w:noWrap w:val="0"/>
            <w:vAlign w:val="top"/>
          </w:tcPr>
          <w:p>
            <w:pPr>
              <w:spacing w:line="360" w:lineRule="auto"/>
              <w:rPr>
                <w:rFonts w:hint="eastAsia" w:ascii="宋体" w:hAnsi="宋体"/>
                <w:color w:val="auto"/>
                <w:sz w:val="22"/>
                <w:szCs w:val="22"/>
              </w:rPr>
            </w:pPr>
          </w:p>
        </w:tc>
        <w:tc>
          <w:tcPr>
            <w:tcW w:w="3260" w:type="dxa"/>
            <w:noWrap w:val="0"/>
            <w:vAlign w:val="top"/>
          </w:tcPr>
          <w:p>
            <w:pPr>
              <w:spacing w:line="360" w:lineRule="auto"/>
              <w:rPr>
                <w:rFonts w:hint="eastAsia" w:ascii="宋体" w:hAnsi="宋体"/>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2694" w:type="dxa"/>
            <w:noWrap w:val="0"/>
            <w:vAlign w:val="center"/>
          </w:tcPr>
          <w:p>
            <w:pPr>
              <w:jc w:val="center"/>
              <w:rPr>
                <w:rFonts w:hint="eastAsia" w:ascii="宋体" w:hAnsi="宋体"/>
                <w:color w:val="auto"/>
                <w:sz w:val="22"/>
                <w:szCs w:val="22"/>
              </w:rPr>
            </w:pPr>
            <w:r>
              <w:rPr>
                <w:rFonts w:hint="eastAsia" w:ascii="宋体" w:hAnsi="宋体"/>
                <w:color w:val="auto"/>
                <w:sz w:val="22"/>
                <w:szCs w:val="22"/>
              </w:rPr>
              <w:t>合约负责人</w:t>
            </w:r>
          </w:p>
        </w:tc>
        <w:tc>
          <w:tcPr>
            <w:tcW w:w="1417" w:type="dxa"/>
            <w:noWrap w:val="0"/>
            <w:vAlign w:val="top"/>
          </w:tcPr>
          <w:p>
            <w:pPr>
              <w:spacing w:line="360" w:lineRule="auto"/>
              <w:rPr>
                <w:rFonts w:hint="eastAsia" w:ascii="宋体" w:hAnsi="宋体"/>
                <w:color w:val="auto"/>
                <w:sz w:val="22"/>
                <w:szCs w:val="22"/>
              </w:rPr>
            </w:pPr>
          </w:p>
        </w:tc>
        <w:tc>
          <w:tcPr>
            <w:tcW w:w="1134" w:type="dxa"/>
            <w:noWrap w:val="0"/>
            <w:vAlign w:val="top"/>
          </w:tcPr>
          <w:p>
            <w:pPr>
              <w:spacing w:line="360" w:lineRule="auto"/>
              <w:rPr>
                <w:rFonts w:hint="eastAsia" w:ascii="宋体" w:hAnsi="宋体"/>
                <w:color w:val="auto"/>
                <w:sz w:val="22"/>
                <w:szCs w:val="22"/>
              </w:rPr>
            </w:pPr>
          </w:p>
        </w:tc>
        <w:tc>
          <w:tcPr>
            <w:tcW w:w="3260" w:type="dxa"/>
            <w:noWrap w:val="0"/>
            <w:vAlign w:val="top"/>
          </w:tcPr>
          <w:p>
            <w:pPr>
              <w:spacing w:line="360" w:lineRule="auto"/>
              <w:rPr>
                <w:rFonts w:hint="eastAsia" w:ascii="宋体" w:hAnsi="宋体"/>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2694" w:type="dxa"/>
            <w:noWrap w:val="0"/>
            <w:vAlign w:val="top"/>
          </w:tcPr>
          <w:p>
            <w:pPr>
              <w:spacing w:line="360" w:lineRule="auto"/>
              <w:jc w:val="center"/>
              <w:rPr>
                <w:rFonts w:hint="eastAsia" w:ascii="宋体" w:hAnsi="宋体"/>
                <w:color w:val="auto"/>
                <w:sz w:val="22"/>
                <w:szCs w:val="22"/>
              </w:rPr>
            </w:pPr>
            <w:r>
              <w:rPr>
                <w:rFonts w:hint="eastAsia" w:ascii="宋体" w:hAnsi="宋体"/>
                <w:color w:val="auto"/>
                <w:sz w:val="22"/>
                <w:szCs w:val="22"/>
              </w:rPr>
              <w:t>其他</w:t>
            </w:r>
          </w:p>
        </w:tc>
        <w:tc>
          <w:tcPr>
            <w:tcW w:w="1417" w:type="dxa"/>
            <w:noWrap w:val="0"/>
            <w:vAlign w:val="top"/>
          </w:tcPr>
          <w:p>
            <w:pPr>
              <w:spacing w:line="360" w:lineRule="auto"/>
              <w:rPr>
                <w:rFonts w:hint="eastAsia" w:ascii="宋体" w:hAnsi="宋体"/>
                <w:color w:val="auto"/>
                <w:sz w:val="22"/>
                <w:szCs w:val="22"/>
              </w:rPr>
            </w:pPr>
          </w:p>
        </w:tc>
        <w:tc>
          <w:tcPr>
            <w:tcW w:w="1134" w:type="dxa"/>
            <w:noWrap w:val="0"/>
            <w:vAlign w:val="top"/>
          </w:tcPr>
          <w:p>
            <w:pPr>
              <w:spacing w:line="360" w:lineRule="auto"/>
              <w:rPr>
                <w:rFonts w:hint="eastAsia" w:ascii="宋体" w:hAnsi="宋体"/>
                <w:color w:val="auto"/>
                <w:sz w:val="22"/>
                <w:szCs w:val="22"/>
              </w:rPr>
            </w:pPr>
          </w:p>
        </w:tc>
        <w:tc>
          <w:tcPr>
            <w:tcW w:w="3260" w:type="dxa"/>
            <w:noWrap w:val="0"/>
            <w:vAlign w:val="top"/>
          </w:tcPr>
          <w:p>
            <w:pPr>
              <w:spacing w:line="360" w:lineRule="auto"/>
              <w:rPr>
                <w:rFonts w:hint="eastAsia" w:ascii="宋体" w:hAnsi="宋体"/>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2694" w:type="dxa"/>
            <w:noWrap w:val="0"/>
            <w:vAlign w:val="top"/>
          </w:tcPr>
          <w:p>
            <w:pPr>
              <w:spacing w:line="360" w:lineRule="auto"/>
              <w:rPr>
                <w:rFonts w:hint="eastAsia" w:ascii="宋体" w:hAnsi="宋体"/>
                <w:color w:val="auto"/>
                <w:sz w:val="22"/>
                <w:szCs w:val="22"/>
              </w:rPr>
            </w:pPr>
          </w:p>
        </w:tc>
        <w:tc>
          <w:tcPr>
            <w:tcW w:w="1417" w:type="dxa"/>
            <w:noWrap w:val="0"/>
            <w:vAlign w:val="top"/>
          </w:tcPr>
          <w:p>
            <w:pPr>
              <w:spacing w:line="360" w:lineRule="auto"/>
              <w:rPr>
                <w:rFonts w:hint="eastAsia" w:ascii="宋体" w:hAnsi="宋体"/>
                <w:color w:val="auto"/>
                <w:sz w:val="22"/>
                <w:szCs w:val="22"/>
              </w:rPr>
            </w:pPr>
          </w:p>
        </w:tc>
        <w:tc>
          <w:tcPr>
            <w:tcW w:w="1134" w:type="dxa"/>
            <w:noWrap w:val="0"/>
            <w:vAlign w:val="top"/>
          </w:tcPr>
          <w:p>
            <w:pPr>
              <w:spacing w:line="360" w:lineRule="auto"/>
              <w:rPr>
                <w:rFonts w:hint="eastAsia" w:ascii="宋体" w:hAnsi="宋体"/>
                <w:color w:val="auto"/>
                <w:sz w:val="22"/>
                <w:szCs w:val="22"/>
              </w:rPr>
            </w:pPr>
          </w:p>
        </w:tc>
        <w:tc>
          <w:tcPr>
            <w:tcW w:w="3260" w:type="dxa"/>
            <w:noWrap w:val="0"/>
            <w:vAlign w:val="top"/>
          </w:tcPr>
          <w:p>
            <w:pPr>
              <w:spacing w:line="360" w:lineRule="auto"/>
              <w:rPr>
                <w:rFonts w:hint="eastAsia" w:ascii="宋体" w:hAnsi="宋体"/>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2694" w:type="dxa"/>
            <w:noWrap w:val="0"/>
            <w:vAlign w:val="top"/>
          </w:tcPr>
          <w:p>
            <w:pPr>
              <w:spacing w:line="360" w:lineRule="auto"/>
              <w:rPr>
                <w:rFonts w:hint="eastAsia" w:ascii="宋体" w:hAnsi="宋体"/>
                <w:color w:val="auto"/>
                <w:sz w:val="22"/>
                <w:szCs w:val="22"/>
              </w:rPr>
            </w:pPr>
          </w:p>
        </w:tc>
        <w:tc>
          <w:tcPr>
            <w:tcW w:w="1417" w:type="dxa"/>
            <w:noWrap w:val="0"/>
            <w:vAlign w:val="top"/>
          </w:tcPr>
          <w:p>
            <w:pPr>
              <w:spacing w:line="360" w:lineRule="auto"/>
              <w:rPr>
                <w:rFonts w:hint="eastAsia" w:ascii="宋体" w:hAnsi="宋体"/>
                <w:color w:val="auto"/>
                <w:sz w:val="22"/>
                <w:szCs w:val="22"/>
              </w:rPr>
            </w:pPr>
          </w:p>
        </w:tc>
        <w:tc>
          <w:tcPr>
            <w:tcW w:w="1134" w:type="dxa"/>
            <w:noWrap w:val="0"/>
            <w:vAlign w:val="top"/>
          </w:tcPr>
          <w:p>
            <w:pPr>
              <w:spacing w:line="360" w:lineRule="auto"/>
              <w:rPr>
                <w:rFonts w:hint="eastAsia" w:ascii="宋体" w:hAnsi="宋体"/>
                <w:color w:val="auto"/>
                <w:sz w:val="22"/>
                <w:szCs w:val="22"/>
              </w:rPr>
            </w:pPr>
          </w:p>
        </w:tc>
        <w:tc>
          <w:tcPr>
            <w:tcW w:w="3260" w:type="dxa"/>
            <w:noWrap w:val="0"/>
            <w:vAlign w:val="top"/>
          </w:tcPr>
          <w:p>
            <w:pPr>
              <w:spacing w:line="360" w:lineRule="auto"/>
              <w:rPr>
                <w:rFonts w:hint="eastAsia" w:ascii="宋体" w:hAnsi="宋体"/>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2694" w:type="dxa"/>
            <w:noWrap w:val="0"/>
            <w:vAlign w:val="top"/>
          </w:tcPr>
          <w:p>
            <w:pPr>
              <w:spacing w:line="360" w:lineRule="auto"/>
              <w:rPr>
                <w:rFonts w:hint="eastAsia" w:ascii="宋体" w:hAnsi="宋体"/>
                <w:color w:val="auto"/>
                <w:sz w:val="22"/>
                <w:szCs w:val="22"/>
              </w:rPr>
            </w:pPr>
          </w:p>
        </w:tc>
        <w:tc>
          <w:tcPr>
            <w:tcW w:w="1417" w:type="dxa"/>
            <w:noWrap w:val="0"/>
            <w:vAlign w:val="top"/>
          </w:tcPr>
          <w:p>
            <w:pPr>
              <w:spacing w:line="360" w:lineRule="auto"/>
              <w:rPr>
                <w:rFonts w:hint="eastAsia" w:ascii="宋体" w:hAnsi="宋体"/>
                <w:color w:val="auto"/>
                <w:sz w:val="22"/>
                <w:szCs w:val="22"/>
              </w:rPr>
            </w:pPr>
          </w:p>
        </w:tc>
        <w:tc>
          <w:tcPr>
            <w:tcW w:w="1134" w:type="dxa"/>
            <w:noWrap w:val="0"/>
            <w:vAlign w:val="top"/>
          </w:tcPr>
          <w:p>
            <w:pPr>
              <w:spacing w:line="360" w:lineRule="auto"/>
              <w:rPr>
                <w:rFonts w:hint="eastAsia" w:ascii="宋体" w:hAnsi="宋体"/>
                <w:color w:val="auto"/>
                <w:sz w:val="22"/>
                <w:szCs w:val="22"/>
              </w:rPr>
            </w:pPr>
          </w:p>
        </w:tc>
        <w:tc>
          <w:tcPr>
            <w:tcW w:w="3260" w:type="dxa"/>
            <w:noWrap w:val="0"/>
            <w:vAlign w:val="top"/>
          </w:tcPr>
          <w:p>
            <w:pPr>
              <w:spacing w:line="360" w:lineRule="auto"/>
              <w:rPr>
                <w:rFonts w:hint="eastAsia" w:ascii="宋体" w:hAnsi="宋体"/>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2694" w:type="dxa"/>
            <w:noWrap w:val="0"/>
            <w:vAlign w:val="top"/>
          </w:tcPr>
          <w:p>
            <w:pPr>
              <w:spacing w:line="360" w:lineRule="auto"/>
              <w:rPr>
                <w:rFonts w:hint="eastAsia" w:ascii="宋体" w:hAnsi="宋体"/>
                <w:color w:val="auto"/>
                <w:sz w:val="22"/>
                <w:szCs w:val="22"/>
              </w:rPr>
            </w:pPr>
          </w:p>
        </w:tc>
        <w:tc>
          <w:tcPr>
            <w:tcW w:w="1417" w:type="dxa"/>
            <w:noWrap w:val="0"/>
            <w:vAlign w:val="top"/>
          </w:tcPr>
          <w:p>
            <w:pPr>
              <w:spacing w:line="360" w:lineRule="auto"/>
              <w:rPr>
                <w:rFonts w:hint="eastAsia" w:ascii="宋体" w:hAnsi="宋体"/>
                <w:color w:val="auto"/>
                <w:sz w:val="22"/>
                <w:szCs w:val="22"/>
              </w:rPr>
            </w:pPr>
          </w:p>
        </w:tc>
        <w:tc>
          <w:tcPr>
            <w:tcW w:w="1134" w:type="dxa"/>
            <w:noWrap w:val="0"/>
            <w:vAlign w:val="top"/>
          </w:tcPr>
          <w:p>
            <w:pPr>
              <w:spacing w:line="360" w:lineRule="auto"/>
              <w:rPr>
                <w:rFonts w:hint="eastAsia" w:ascii="宋体" w:hAnsi="宋体"/>
                <w:color w:val="auto"/>
                <w:sz w:val="22"/>
                <w:szCs w:val="22"/>
              </w:rPr>
            </w:pPr>
          </w:p>
        </w:tc>
        <w:tc>
          <w:tcPr>
            <w:tcW w:w="3260" w:type="dxa"/>
            <w:noWrap w:val="0"/>
            <w:vAlign w:val="top"/>
          </w:tcPr>
          <w:p>
            <w:pPr>
              <w:spacing w:line="360" w:lineRule="auto"/>
              <w:rPr>
                <w:rFonts w:hint="eastAsia" w:ascii="宋体" w:hAnsi="宋体"/>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2694" w:type="dxa"/>
            <w:noWrap w:val="0"/>
            <w:vAlign w:val="top"/>
          </w:tcPr>
          <w:p>
            <w:pPr>
              <w:spacing w:line="360" w:lineRule="auto"/>
              <w:rPr>
                <w:rFonts w:hint="eastAsia" w:ascii="宋体" w:hAnsi="宋体"/>
                <w:color w:val="auto"/>
                <w:sz w:val="22"/>
                <w:szCs w:val="22"/>
              </w:rPr>
            </w:pPr>
          </w:p>
        </w:tc>
        <w:tc>
          <w:tcPr>
            <w:tcW w:w="1417" w:type="dxa"/>
            <w:noWrap w:val="0"/>
            <w:vAlign w:val="top"/>
          </w:tcPr>
          <w:p>
            <w:pPr>
              <w:spacing w:line="360" w:lineRule="auto"/>
              <w:rPr>
                <w:rFonts w:hint="eastAsia" w:ascii="宋体" w:hAnsi="宋体"/>
                <w:color w:val="auto"/>
                <w:sz w:val="22"/>
                <w:szCs w:val="22"/>
              </w:rPr>
            </w:pPr>
          </w:p>
        </w:tc>
        <w:tc>
          <w:tcPr>
            <w:tcW w:w="1134" w:type="dxa"/>
            <w:noWrap w:val="0"/>
            <w:vAlign w:val="top"/>
          </w:tcPr>
          <w:p>
            <w:pPr>
              <w:spacing w:line="360" w:lineRule="auto"/>
              <w:rPr>
                <w:rFonts w:hint="eastAsia" w:ascii="宋体" w:hAnsi="宋体"/>
                <w:color w:val="auto"/>
                <w:sz w:val="22"/>
                <w:szCs w:val="22"/>
              </w:rPr>
            </w:pPr>
          </w:p>
        </w:tc>
        <w:tc>
          <w:tcPr>
            <w:tcW w:w="3260" w:type="dxa"/>
            <w:noWrap w:val="0"/>
            <w:vAlign w:val="top"/>
          </w:tcPr>
          <w:p>
            <w:pPr>
              <w:spacing w:line="360" w:lineRule="auto"/>
              <w:rPr>
                <w:rFonts w:hint="eastAsia" w:ascii="宋体" w:hAnsi="宋体"/>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2694" w:type="dxa"/>
            <w:noWrap w:val="0"/>
            <w:vAlign w:val="top"/>
          </w:tcPr>
          <w:p>
            <w:pPr>
              <w:spacing w:line="360" w:lineRule="auto"/>
              <w:rPr>
                <w:rFonts w:hint="eastAsia" w:ascii="宋体" w:hAnsi="宋体"/>
                <w:color w:val="auto"/>
                <w:sz w:val="22"/>
                <w:szCs w:val="22"/>
              </w:rPr>
            </w:pPr>
          </w:p>
        </w:tc>
        <w:tc>
          <w:tcPr>
            <w:tcW w:w="1417" w:type="dxa"/>
            <w:noWrap w:val="0"/>
            <w:vAlign w:val="top"/>
          </w:tcPr>
          <w:p>
            <w:pPr>
              <w:spacing w:line="360" w:lineRule="auto"/>
              <w:rPr>
                <w:rFonts w:hint="eastAsia" w:ascii="宋体" w:hAnsi="宋体"/>
                <w:color w:val="auto"/>
                <w:sz w:val="22"/>
                <w:szCs w:val="22"/>
              </w:rPr>
            </w:pPr>
          </w:p>
        </w:tc>
        <w:tc>
          <w:tcPr>
            <w:tcW w:w="1134" w:type="dxa"/>
            <w:noWrap w:val="0"/>
            <w:vAlign w:val="top"/>
          </w:tcPr>
          <w:p>
            <w:pPr>
              <w:spacing w:line="360" w:lineRule="auto"/>
              <w:rPr>
                <w:rFonts w:hint="eastAsia" w:ascii="宋体" w:hAnsi="宋体"/>
                <w:color w:val="auto"/>
                <w:sz w:val="22"/>
                <w:szCs w:val="22"/>
              </w:rPr>
            </w:pPr>
          </w:p>
        </w:tc>
        <w:tc>
          <w:tcPr>
            <w:tcW w:w="3260" w:type="dxa"/>
            <w:noWrap w:val="0"/>
            <w:vAlign w:val="top"/>
          </w:tcPr>
          <w:p>
            <w:pPr>
              <w:spacing w:line="360" w:lineRule="auto"/>
              <w:rPr>
                <w:rFonts w:hint="eastAsia" w:ascii="宋体" w:hAnsi="宋体"/>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2694" w:type="dxa"/>
            <w:noWrap w:val="0"/>
            <w:vAlign w:val="top"/>
          </w:tcPr>
          <w:p>
            <w:pPr>
              <w:spacing w:line="360" w:lineRule="auto"/>
              <w:rPr>
                <w:rFonts w:hint="eastAsia" w:ascii="宋体" w:hAnsi="宋体"/>
                <w:color w:val="auto"/>
                <w:sz w:val="22"/>
                <w:szCs w:val="22"/>
              </w:rPr>
            </w:pPr>
          </w:p>
        </w:tc>
        <w:tc>
          <w:tcPr>
            <w:tcW w:w="1417" w:type="dxa"/>
            <w:noWrap w:val="0"/>
            <w:vAlign w:val="top"/>
          </w:tcPr>
          <w:p>
            <w:pPr>
              <w:spacing w:line="360" w:lineRule="auto"/>
              <w:rPr>
                <w:rFonts w:hint="eastAsia" w:ascii="宋体" w:hAnsi="宋体"/>
                <w:color w:val="auto"/>
                <w:sz w:val="22"/>
                <w:szCs w:val="22"/>
              </w:rPr>
            </w:pPr>
          </w:p>
        </w:tc>
        <w:tc>
          <w:tcPr>
            <w:tcW w:w="1134" w:type="dxa"/>
            <w:noWrap w:val="0"/>
            <w:vAlign w:val="top"/>
          </w:tcPr>
          <w:p>
            <w:pPr>
              <w:spacing w:line="360" w:lineRule="auto"/>
              <w:rPr>
                <w:rFonts w:hint="eastAsia" w:ascii="宋体" w:hAnsi="宋体"/>
                <w:color w:val="auto"/>
                <w:sz w:val="22"/>
                <w:szCs w:val="22"/>
              </w:rPr>
            </w:pPr>
          </w:p>
        </w:tc>
        <w:tc>
          <w:tcPr>
            <w:tcW w:w="3260" w:type="dxa"/>
            <w:noWrap w:val="0"/>
            <w:vAlign w:val="top"/>
          </w:tcPr>
          <w:p>
            <w:pPr>
              <w:spacing w:line="360" w:lineRule="auto"/>
              <w:rPr>
                <w:rFonts w:hint="eastAsia" w:ascii="宋体" w:hAnsi="宋体"/>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2694" w:type="dxa"/>
            <w:noWrap w:val="0"/>
            <w:vAlign w:val="top"/>
          </w:tcPr>
          <w:p>
            <w:pPr>
              <w:spacing w:line="360" w:lineRule="auto"/>
              <w:rPr>
                <w:rFonts w:hint="eastAsia" w:ascii="宋体" w:hAnsi="宋体"/>
                <w:color w:val="auto"/>
                <w:sz w:val="22"/>
                <w:szCs w:val="22"/>
              </w:rPr>
            </w:pPr>
          </w:p>
        </w:tc>
        <w:tc>
          <w:tcPr>
            <w:tcW w:w="1417" w:type="dxa"/>
            <w:noWrap w:val="0"/>
            <w:vAlign w:val="top"/>
          </w:tcPr>
          <w:p>
            <w:pPr>
              <w:spacing w:line="360" w:lineRule="auto"/>
              <w:rPr>
                <w:rFonts w:hint="eastAsia" w:ascii="宋体" w:hAnsi="宋体"/>
                <w:color w:val="auto"/>
                <w:sz w:val="22"/>
                <w:szCs w:val="22"/>
              </w:rPr>
            </w:pPr>
          </w:p>
        </w:tc>
        <w:tc>
          <w:tcPr>
            <w:tcW w:w="1134" w:type="dxa"/>
            <w:noWrap w:val="0"/>
            <w:vAlign w:val="top"/>
          </w:tcPr>
          <w:p>
            <w:pPr>
              <w:spacing w:line="360" w:lineRule="auto"/>
              <w:rPr>
                <w:rFonts w:hint="eastAsia" w:ascii="宋体" w:hAnsi="宋体"/>
                <w:color w:val="auto"/>
                <w:sz w:val="22"/>
                <w:szCs w:val="22"/>
              </w:rPr>
            </w:pPr>
          </w:p>
        </w:tc>
        <w:tc>
          <w:tcPr>
            <w:tcW w:w="3260" w:type="dxa"/>
            <w:noWrap w:val="0"/>
            <w:vAlign w:val="top"/>
          </w:tcPr>
          <w:p>
            <w:pPr>
              <w:spacing w:line="360" w:lineRule="auto"/>
              <w:rPr>
                <w:rFonts w:hint="eastAsia" w:ascii="宋体" w:hAnsi="宋体"/>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2694" w:type="dxa"/>
            <w:noWrap w:val="0"/>
            <w:vAlign w:val="top"/>
          </w:tcPr>
          <w:p>
            <w:pPr>
              <w:spacing w:line="360" w:lineRule="auto"/>
              <w:rPr>
                <w:rFonts w:hint="eastAsia" w:ascii="宋体" w:hAnsi="宋体"/>
                <w:color w:val="auto"/>
                <w:sz w:val="22"/>
                <w:szCs w:val="22"/>
              </w:rPr>
            </w:pPr>
          </w:p>
        </w:tc>
        <w:tc>
          <w:tcPr>
            <w:tcW w:w="1417" w:type="dxa"/>
            <w:noWrap w:val="0"/>
            <w:vAlign w:val="top"/>
          </w:tcPr>
          <w:p>
            <w:pPr>
              <w:spacing w:line="360" w:lineRule="auto"/>
              <w:rPr>
                <w:rFonts w:hint="eastAsia" w:ascii="宋体" w:hAnsi="宋体"/>
                <w:color w:val="auto"/>
                <w:sz w:val="22"/>
                <w:szCs w:val="22"/>
              </w:rPr>
            </w:pPr>
          </w:p>
        </w:tc>
        <w:tc>
          <w:tcPr>
            <w:tcW w:w="1134" w:type="dxa"/>
            <w:noWrap w:val="0"/>
            <w:vAlign w:val="top"/>
          </w:tcPr>
          <w:p>
            <w:pPr>
              <w:spacing w:line="360" w:lineRule="auto"/>
              <w:rPr>
                <w:rFonts w:hint="eastAsia" w:ascii="宋体" w:hAnsi="宋体"/>
                <w:color w:val="auto"/>
                <w:sz w:val="22"/>
                <w:szCs w:val="22"/>
              </w:rPr>
            </w:pPr>
          </w:p>
        </w:tc>
        <w:tc>
          <w:tcPr>
            <w:tcW w:w="3260" w:type="dxa"/>
            <w:noWrap w:val="0"/>
            <w:vAlign w:val="top"/>
          </w:tcPr>
          <w:p>
            <w:pPr>
              <w:spacing w:line="360" w:lineRule="auto"/>
              <w:rPr>
                <w:rFonts w:hint="eastAsia" w:ascii="宋体" w:hAnsi="宋体"/>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2694" w:type="dxa"/>
            <w:noWrap w:val="0"/>
            <w:vAlign w:val="top"/>
          </w:tcPr>
          <w:p>
            <w:pPr>
              <w:spacing w:line="360" w:lineRule="auto"/>
              <w:rPr>
                <w:rFonts w:hint="eastAsia" w:ascii="宋体" w:hAnsi="宋体"/>
                <w:color w:val="auto"/>
                <w:sz w:val="22"/>
                <w:szCs w:val="22"/>
              </w:rPr>
            </w:pPr>
          </w:p>
        </w:tc>
        <w:tc>
          <w:tcPr>
            <w:tcW w:w="1417" w:type="dxa"/>
            <w:noWrap w:val="0"/>
            <w:vAlign w:val="top"/>
          </w:tcPr>
          <w:p>
            <w:pPr>
              <w:spacing w:line="360" w:lineRule="auto"/>
              <w:rPr>
                <w:rFonts w:hint="eastAsia" w:ascii="宋体" w:hAnsi="宋体"/>
                <w:color w:val="auto"/>
                <w:sz w:val="22"/>
                <w:szCs w:val="22"/>
              </w:rPr>
            </w:pPr>
          </w:p>
        </w:tc>
        <w:tc>
          <w:tcPr>
            <w:tcW w:w="1134" w:type="dxa"/>
            <w:noWrap w:val="0"/>
            <w:vAlign w:val="top"/>
          </w:tcPr>
          <w:p>
            <w:pPr>
              <w:spacing w:line="360" w:lineRule="auto"/>
              <w:rPr>
                <w:rFonts w:hint="eastAsia" w:ascii="宋体" w:hAnsi="宋体"/>
                <w:color w:val="auto"/>
                <w:sz w:val="22"/>
                <w:szCs w:val="22"/>
              </w:rPr>
            </w:pPr>
          </w:p>
        </w:tc>
        <w:tc>
          <w:tcPr>
            <w:tcW w:w="3260" w:type="dxa"/>
            <w:noWrap w:val="0"/>
            <w:vAlign w:val="top"/>
          </w:tcPr>
          <w:p>
            <w:pPr>
              <w:spacing w:line="360" w:lineRule="auto"/>
              <w:rPr>
                <w:rFonts w:hint="eastAsia" w:ascii="宋体" w:hAnsi="宋体"/>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2694" w:type="dxa"/>
            <w:noWrap w:val="0"/>
            <w:vAlign w:val="top"/>
          </w:tcPr>
          <w:p>
            <w:pPr>
              <w:spacing w:line="360" w:lineRule="auto"/>
              <w:rPr>
                <w:rFonts w:hint="eastAsia" w:ascii="宋体" w:hAnsi="宋体"/>
                <w:color w:val="auto"/>
                <w:sz w:val="22"/>
                <w:szCs w:val="22"/>
              </w:rPr>
            </w:pPr>
          </w:p>
        </w:tc>
        <w:tc>
          <w:tcPr>
            <w:tcW w:w="1417" w:type="dxa"/>
            <w:noWrap w:val="0"/>
            <w:vAlign w:val="top"/>
          </w:tcPr>
          <w:p>
            <w:pPr>
              <w:spacing w:line="360" w:lineRule="auto"/>
              <w:rPr>
                <w:rFonts w:hint="eastAsia" w:ascii="宋体" w:hAnsi="宋体"/>
                <w:color w:val="auto"/>
                <w:sz w:val="22"/>
                <w:szCs w:val="22"/>
              </w:rPr>
            </w:pPr>
          </w:p>
        </w:tc>
        <w:tc>
          <w:tcPr>
            <w:tcW w:w="1134" w:type="dxa"/>
            <w:noWrap w:val="0"/>
            <w:vAlign w:val="top"/>
          </w:tcPr>
          <w:p>
            <w:pPr>
              <w:spacing w:line="360" w:lineRule="auto"/>
              <w:rPr>
                <w:rFonts w:hint="eastAsia" w:ascii="宋体" w:hAnsi="宋体"/>
                <w:color w:val="auto"/>
                <w:sz w:val="22"/>
                <w:szCs w:val="22"/>
              </w:rPr>
            </w:pPr>
          </w:p>
        </w:tc>
        <w:tc>
          <w:tcPr>
            <w:tcW w:w="3260" w:type="dxa"/>
            <w:noWrap w:val="0"/>
            <w:vAlign w:val="top"/>
          </w:tcPr>
          <w:p>
            <w:pPr>
              <w:spacing w:line="360" w:lineRule="auto"/>
              <w:rPr>
                <w:rFonts w:hint="eastAsia" w:ascii="宋体" w:hAnsi="宋体"/>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2694" w:type="dxa"/>
            <w:noWrap w:val="0"/>
            <w:vAlign w:val="top"/>
          </w:tcPr>
          <w:p>
            <w:pPr>
              <w:spacing w:line="360" w:lineRule="auto"/>
              <w:rPr>
                <w:rFonts w:hint="eastAsia" w:ascii="宋体" w:hAnsi="宋体"/>
                <w:color w:val="auto"/>
                <w:sz w:val="22"/>
                <w:szCs w:val="22"/>
              </w:rPr>
            </w:pPr>
          </w:p>
        </w:tc>
        <w:tc>
          <w:tcPr>
            <w:tcW w:w="1417" w:type="dxa"/>
            <w:noWrap w:val="0"/>
            <w:vAlign w:val="top"/>
          </w:tcPr>
          <w:p>
            <w:pPr>
              <w:spacing w:line="360" w:lineRule="auto"/>
              <w:rPr>
                <w:rFonts w:hint="eastAsia" w:ascii="宋体" w:hAnsi="宋体"/>
                <w:color w:val="auto"/>
                <w:sz w:val="22"/>
                <w:szCs w:val="22"/>
              </w:rPr>
            </w:pPr>
          </w:p>
        </w:tc>
        <w:tc>
          <w:tcPr>
            <w:tcW w:w="1134" w:type="dxa"/>
            <w:noWrap w:val="0"/>
            <w:vAlign w:val="top"/>
          </w:tcPr>
          <w:p>
            <w:pPr>
              <w:spacing w:line="360" w:lineRule="auto"/>
              <w:rPr>
                <w:rFonts w:hint="eastAsia" w:ascii="宋体" w:hAnsi="宋体"/>
                <w:color w:val="auto"/>
                <w:sz w:val="22"/>
                <w:szCs w:val="22"/>
              </w:rPr>
            </w:pPr>
          </w:p>
        </w:tc>
        <w:tc>
          <w:tcPr>
            <w:tcW w:w="3260" w:type="dxa"/>
            <w:noWrap w:val="0"/>
            <w:vAlign w:val="top"/>
          </w:tcPr>
          <w:p>
            <w:pPr>
              <w:spacing w:line="360" w:lineRule="auto"/>
              <w:rPr>
                <w:rFonts w:hint="eastAsia" w:ascii="宋体" w:hAnsi="宋体"/>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2694" w:type="dxa"/>
            <w:noWrap w:val="0"/>
            <w:vAlign w:val="top"/>
          </w:tcPr>
          <w:p>
            <w:pPr>
              <w:spacing w:line="360" w:lineRule="auto"/>
              <w:rPr>
                <w:rFonts w:hint="eastAsia" w:ascii="宋体" w:hAnsi="宋体"/>
                <w:color w:val="auto"/>
                <w:sz w:val="22"/>
                <w:szCs w:val="22"/>
              </w:rPr>
            </w:pPr>
          </w:p>
        </w:tc>
        <w:tc>
          <w:tcPr>
            <w:tcW w:w="1417" w:type="dxa"/>
            <w:noWrap w:val="0"/>
            <w:vAlign w:val="top"/>
          </w:tcPr>
          <w:p>
            <w:pPr>
              <w:spacing w:line="360" w:lineRule="auto"/>
              <w:rPr>
                <w:rFonts w:hint="eastAsia" w:ascii="宋体" w:hAnsi="宋体"/>
                <w:color w:val="auto"/>
                <w:sz w:val="22"/>
                <w:szCs w:val="22"/>
              </w:rPr>
            </w:pPr>
          </w:p>
        </w:tc>
        <w:tc>
          <w:tcPr>
            <w:tcW w:w="1134" w:type="dxa"/>
            <w:noWrap w:val="0"/>
            <w:vAlign w:val="top"/>
          </w:tcPr>
          <w:p>
            <w:pPr>
              <w:spacing w:line="360" w:lineRule="auto"/>
              <w:rPr>
                <w:rFonts w:hint="eastAsia" w:ascii="宋体" w:hAnsi="宋体"/>
                <w:color w:val="auto"/>
                <w:sz w:val="22"/>
                <w:szCs w:val="22"/>
              </w:rPr>
            </w:pPr>
          </w:p>
        </w:tc>
        <w:tc>
          <w:tcPr>
            <w:tcW w:w="3260" w:type="dxa"/>
            <w:noWrap w:val="0"/>
            <w:vAlign w:val="top"/>
          </w:tcPr>
          <w:p>
            <w:pPr>
              <w:spacing w:line="360" w:lineRule="auto"/>
              <w:rPr>
                <w:rFonts w:hint="eastAsia" w:ascii="宋体" w:hAnsi="宋体"/>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2694" w:type="dxa"/>
            <w:noWrap w:val="0"/>
            <w:vAlign w:val="top"/>
          </w:tcPr>
          <w:p>
            <w:pPr>
              <w:spacing w:line="360" w:lineRule="auto"/>
              <w:rPr>
                <w:rFonts w:hint="eastAsia" w:ascii="宋体" w:hAnsi="宋体"/>
                <w:color w:val="auto"/>
                <w:sz w:val="22"/>
                <w:szCs w:val="22"/>
              </w:rPr>
            </w:pPr>
          </w:p>
        </w:tc>
        <w:tc>
          <w:tcPr>
            <w:tcW w:w="1417" w:type="dxa"/>
            <w:noWrap w:val="0"/>
            <w:vAlign w:val="top"/>
          </w:tcPr>
          <w:p>
            <w:pPr>
              <w:spacing w:line="360" w:lineRule="auto"/>
              <w:rPr>
                <w:rFonts w:hint="eastAsia" w:ascii="宋体" w:hAnsi="宋体"/>
                <w:color w:val="auto"/>
                <w:sz w:val="22"/>
                <w:szCs w:val="22"/>
              </w:rPr>
            </w:pPr>
          </w:p>
        </w:tc>
        <w:tc>
          <w:tcPr>
            <w:tcW w:w="1134" w:type="dxa"/>
            <w:noWrap w:val="0"/>
            <w:vAlign w:val="top"/>
          </w:tcPr>
          <w:p>
            <w:pPr>
              <w:spacing w:line="360" w:lineRule="auto"/>
              <w:rPr>
                <w:rFonts w:hint="eastAsia" w:ascii="宋体" w:hAnsi="宋体"/>
                <w:color w:val="auto"/>
                <w:sz w:val="22"/>
                <w:szCs w:val="22"/>
              </w:rPr>
            </w:pPr>
          </w:p>
        </w:tc>
        <w:tc>
          <w:tcPr>
            <w:tcW w:w="3260" w:type="dxa"/>
            <w:noWrap w:val="0"/>
            <w:vAlign w:val="top"/>
          </w:tcPr>
          <w:p>
            <w:pPr>
              <w:spacing w:line="360" w:lineRule="auto"/>
              <w:rPr>
                <w:rFonts w:hint="eastAsia" w:ascii="宋体" w:hAnsi="宋体"/>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2694" w:type="dxa"/>
            <w:noWrap w:val="0"/>
            <w:vAlign w:val="top"/>
          </w:tcPr>
          <w:p>
            <w:pPr>
              <w:spacing w:line="360" w:lineRule="auto"/>
              <w:rPr>
                <w:rFonts w:hint="eastAsia" w:ascii="宋体" w:hAnsi="宋体"/>
                <w:color w:val="auto"/>
                <w:sz w:val="22"/>
                <w:szCs w:val="22"/>
              </w:rPr>
            </w:pPr>
          </w:p>
        </w:tc>
        <w:tc>
          <w:tcPr>
            <w:tcW w:w="1417" w:type="dxa"/>
            <w:noWrap w:val="0"/>
            <w:vAlign w:val="top"/>
          </w:tcPr>
          <w:p>
            <w:pPr>
              <w:spacing w:line="360" w:lineRule="auto"/>
              <w:rPr>
                <w:rFonts w:hint="eastAsia" w:ascii="宋体" w:hAnsi="宋体"/>
                <w:color w:val="auto"/>
                <w:sz w:val="22"/>
                <w:szCs w:val="22"/>
              </w:rPr>
            </w:pPr>
          </w:p>
        </w:tc>
        <w:tc>
          <w:tcPr>
            <w:tcW w:w="1134" w:type="dxa"/>
            <w:noWrap w:val="0"/>
            <w:vAlign w:val="top"/>
          </w:tcPr>
          <w:p>
            <w:pPr>
              <w:spacing w:line="360" w:lineRule="auto"/>
              <w:rPr>
                <w:rFonts w:hint="eastAsia" w:ascii="宋体" w:hAnsi="宋体"/>
                <w:color w:val="auto"/>
                <w:sz w:val="22"/>
                <w:szCs w:val="22"/>
              </w:rPr>
            </w:pPr>
          </w:p>
        </w:tc>
        <w:tc>
          <w:tcPr>
            <w:tcW w:w="3260" w:type="dxa"/>
            <w:noWrap w:val="0"/>
            <w:vAlign w:val="top"/>
          </w:tcPr>
          <w:p>
            <w:pPr>
              <w:spacing w:line="360" w:lineRule="auto"/>
              <w:rPr>
                <w:rFonts w:hint="eastAsia" w:ascii="宋体" w:hAnsi="宋体"/>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2694" w:type="dxa"/>
            <w:noWrap w:val="0"/>
            <w:vAlign w:val="top"/>
          </w:tcPr>
          <w:p>
            <w:pPr>
              <w:spacing w:line="360" w:lineRule="auto"/>
              <w:rPr>
                <w:rFonts w:hint="eastAsia" w:ascii="宋体" w:hAnsi="宋体"/>
                <w:color w:val="auto"/>
                <w:sz w:val="22"/>
                <w:szCs w:val="22"/>
              </w:rPr>
            </w:pPr>
          </w:p>
        </w:tc>
        <w:tc>
          <w:tcPr>
            <w:tcW w:w="1417" w:type="dxa"/>
            <w:noWrap w:val="0"/>
            <w:vAlign w:val="top"/>
          </w:tcPr>
          <w:p>
            <w:pPr>
              <w:spacing w:line="360" w:lineRule="auto"/>
              <w:rPr>
                <w:rFonts w:hint="eastAsia" w:ascii="宋体" w:hAnsi="宋体"/>
                <w:color w:val="auto"/>
                <w:sz w:val="22"/>
                <w:szCs w:val="22"/>
              </w:rPr>
            </w:pPr>
          </w:p>
        </w:tc>
        <w:tc>
          <w:tcPr>
            <w:tcW w:w="1134" w:type="dxa"/>
            <w:noWrap w:val="0"/>
            <w:vAlign w:val="top"/>
          </w:tcPr>
          <w:p>
            <w:pPr>
              <w:spacing w:line="360" w:lineRule="auto"/>
              <w:rPr>
                <w:rFonts w:hint="eastAsia" w:ascii="宋体" w:hAnsi="宋体"/>
                <w:color w:val="auto"/>
                <w:sz w:val="22"/>
                <w:szCs w:val="22"/>
              </w:rPr>
            </w:pPr>
          </w:p>
        </w:tc>
        <w:tc>
          <w:tcPr>
            <w:tcW w:w="3260" w:type="dxa"/>
            <w:noWrap w:val="0"/>
            <w:vAlign w:val="top"/>
          </w:tcPr>
          <w:p>
            <w:pPr>
              <w:spacing w:line="360" w:lineRule="auto"/>
              <w:rPr>
                <w:rFonts w:hint="eastAsia" w:ascii="宋体" w:hAnsi="宋体"/>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2694" w:type="dxa"/>
            <w:noWrap w:val="0"/>
            <w:vAlign w:val="top"/>
          </w:tcPr>
          <w:p>
            <w:pPr>
              <w:spacing w:line="360" w:lineRule="auto"/>
              <w:rPr>
                <w:rFonts w:hint="eastAsia" w:ascii="宋体" w:hAnsi="宋体"/>
                <w:color w:val="auto"/>
                <w:sz w:val="22"/>
                <w:szCs w:val="22"/>
              </w:rPr>
            </w:pPr>
          </w:p>
        </w:tc>
        <w:tc>
          <w:tcPr>
            <w:tcW w:w="1417" w:type="dxa"/>
            <w:noWrap w:val="0"/>
            <w:vAlign w:val="top"/>
          </w:tcPr>
          <w:p>
            <w:pPr>
              <w:spacing w:line="360" w:lineRule="auto"/>
              <w:rPr>
                <w:rFonts w:hint="eastAsia" w:ascii="宋体" w:hAnsi="宋体"/>
                <w:color w:val="auto"/>
                <w:sz w:val="22"/>
                <w:szCs w:val="22"/>
              </w:rPr>
            </w:pPr>
          </w:p>
        </w:tc>
        <w:tc>
          <w:tcPr>
            <w:tcW w:w="1134" w:type="dxa"/>
            <w:noWrap w:val="0"/>
            <w:vAlign w:val="top"/>
          </w:tcPr>
          <w:p>
            <w:pPr>
              <w:spacing w:line="360" w:lineRule="auto"/>
              <w:rPr>
                <w:rFonts w:hint="eastAsia" w:ascii="宋体" w:hAnsi="宋体"/>
                <w:color w:val="auto"/>
                <w:sz w:val="22"/>
                <w:szCs w:val="22"/>
              </w:rPr>
            </w:pPr>
          </w:p>
        </w:tc>
        <w:tc>
          <w:tcPr>
            <w:tcW w:w="3260" w:type="dxa"/>
            <w:noWrap w:val="0"/>
            <w:vAlign w:val="top"/>
          </w:tcPr>
          <w:p>
            <w:pPr>
              <w:spacing w:line="360" w:lineRule="auto"/>
              <w:rPr>
                <w:rFonts w:hint="eastAsia" w:ascii="宋体" w:hAnsi="宋体"/>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2694" w:type="dxa"/>
            <w:noWrap w:val="0"/>
            <w:vAlign w:val="top"/>
          </w:tcPr>
          <w:p>
            <w:pPr>
              <w:spacing w:line="360" w:lineRule="auto"/>
              <w:rPr>
                <w:rFonts w:hint="eastAsia" w:ascii="宋体" w:hAnsi="宋体"/>
                <w:color w:val="auto"/>
                <w:sz w:val="22"/>
                <w:szCs w:val="22"/>
              </w:rPr>
            </w:pPr>
          </w:p>
        </w:tc>
        <w:tc>
          <w:tcPr>
            <w:tcW w:w="1417" w:type="dxa"/>
            <w:noWrap w:val="0"/>
            <w:vAlign w:val="top"/>
          </w:tcPr>
          <w:p>
            <w:pPr>
              <w:spacing w:line="360" w:lineRule="auto"/>
              <w:rPr>
                <w:rFonts w:hint="eastAsia" w:ascii="宋体" w:hAnsi="宋体"/>
                <w:color w:val="auto"/>
                <w:sz w:val="22"/>
                <w:szCs w:val="22"/>
              </w:rPr>
            </w:pPr>
          </w:p>
        </w:tc>
        <w:tc>
          <w:tcPr>
            <w:tcW w:w="1134" w:type="dxa"/>
            <w:noWrap w:val="0"/>
            <w:vAlign w:val="top"/>
          </w:tcPr>
          <w:p>
            <w:pPr>
              <w:spacing w:line="360" w:lineRule="auto"/>
              <w:rPr>
                <w:rFonts w:hint="eastAsia" w:ascii="宋体" w:hAnsi="宋体"/>
                <w:color w:val="auto"/>
                <w:sz w:val="22"/>
                <w:szCs w:val="22"/>
              </w:rPr>
            </w:pPr>
          </w:p>
        </w:tc>
        <w:tc>
          <w:tcPr>
            <w:tcW w:w="3260" w:type="dxa"/>
            <w:noWrap w:val="0"/>
            <w:vAlign w:val="top"/>
          </w:tcPr>
          <w:p>
            <w:pPr>
              <w:spacing w:line="360" w:lineRule="auto"/>
              <w:rPr>
                <w:rFonts w:hint="eastAsia" w:ascii="宋体" w:hAnsi="宋体"/>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2694" w:type="dxa"/>
            <w:noWrap w:val="0"/>
            <w:vAlign w:val="top"/>
          </w:tcPr>
          <w:p>
            <w:pPr>
              <w:spacing w:line="360" w:lineRule="auto"/>
              <w:rPr>
                <w:rFonts w:hint="eastAsia" w:ascii="宋体" w:hAnsi="宋体"/>
                <w:color w:val="auto"/>
                <w:sz w:val="22"/>
                <w:szCs w:val="22"/>
              </w:rPr>
            </w:pPr>
          </w:p>
        </w:tc>
        <w:tc>
          <w:tcPr>
            <w:tcW w:w="1417" w:type="dxa"/>
            <w:noWrap w:val="0"/>
            <w:vAlign w:val="top"/>
          </w:tcPr>
          <w:p>
            <w:pPr>
              <w:spacing w:line="360" w:lineRule="auto"/>
              <w:rPr>
                <w:rFonts w:hint="eastAsia" w:ascii="宋体" w:hAnsi="宋体"/>
                <w:color w:val="auto"/>
                <w:sz w:val="22"/>
                <w:szCs w:val="22"/>
              </w:rPr>
            </w:pPr>
          </w:p>
        </w:tc>
        <w:tc>
          <w:tcPr>
            <w:tcW w:w="1134" w:type="dxa"/>
            <w:noWrap w:val="0"/>
            <w:vAlign w:val="top"/>
          </w:tcPr>
          <w:p>
            <w:pPr>
              <w:spacing w:line="360" w:lineRule="auto"/>
              <w:rPr>
                <w:rFonts w:hint="eastAsia" w:ascii="宋体" w:hAnsi="宋体"/>
                <w:color w:val="auto"/>
                <w:sz w:val="22"/>
                <w:szCs w:val="22"/>
              </w:rPr>
            </w:pPr>
          </w:p>
        </w:tc>
        <w:tc>
          <w:tcPr>
            <w:tcW w:w="3260" w:type="dxa"/>
            <w:noWrap w:val="0"/>
            <w:vAlign w:val="top"/>
          </w:tcPr>
          <w:p>
            <w:pPr>
              <w:spacing w:line="360" w:lineRule="auto"/>
              <w:rPr>
                <w:rFonts w:hint="eastAsia" w:ascii="宋体" w:hAnsi="宋体"/>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2694" w:type="dxa"/>
            <w:noWrap w:val="0"/>
            <w:vAlign w:val="top"/>
          </w:tcPr>
          <w:p>
            <w:pPr>
              <w:spacing w:line="360" w:lineRule="auto"/>
              <w:rPr>
                <w:rFonts w:hint="eastAsia" w:ascii="宋体" w:hAnsi="宋体"/>
                <w:color w:val="auto"/>
                <w:sz w:val="22"/>
                <w:szCs w:val="22"/>
              </w:rPr>
            </w:pPr>
          </w:p>
        </w:tc>
        <w:tc>
          <w:tcPr>
            <w:tcW w:w="1417" w:type="dxa"/>
            <w:noWrap w:val="0"/>
            <w:vAlign w:val="top"/>
          </w:tcPr>
          <w:p>
            <w:pPr>
              <w:spacing w:line="360" w:lineRule="auto"/>
              <w:rPr>
                <w:rFonts w:hint="eastAsia" w:ascii="宋体" w:hAnsi="宋体"/>
                <w:color w:val="auto"/>
                <w:sz w:val="22"/>
                <w:szCs w:val="22"/>
              </w:rPr>
            </w:pPr>
          </w:p>
        </w:tc>
        <w:tc>
          <w:tcPr>
            <w:tcW w:w="1134" w:type="dxa"/>
            <w:noWrap w:val="0"/>
            <w:vAlign w:val="top"/>
          </w:tcPr>
          <w:p>
            <w:pPr>
              <w:spacing w:line="360" w:lineRule="auto"/>
              <w:rPr>
                <w:rFonts w:hint="eastAsia" w:ascii="宋体" w:hAnsi="宋体"/>
                <w:color w:val="auto"/>
                <w:sz w:val="22"/>
                <w:szCs w:val="22"/>
              </w:rPr>
            </w:pPr>
          </w:p>
        </w:tc>
        <w:tc>
          <w:tcPr>
            <w:tcW w:w="3260" w:type="dxa"/>
            <w:noWrap w:val="0"/>
            <w:vAlign w:val="top"/>
          </w:tcPr>
          <w:p>
            <w:pPr>
              <w:spacing w:line="360" w:lineRule="auto"/>
              <w:rPr>
                <w:rFonts w:hint="eastAsia" w:ascii="宋体" w:hAnsi="宋体"/>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2694" w:type="dxa"/>
            <w:noWrap w:val="0"/>
            <w:vAlign w:val="top"/>
          </w:tcPr>
          <w:p>
            <w:pPr>
              <w:spacing w:line="360" w:lineRule="auto"/>
              <w:rPr>
                <w:rFonts w:hint="eastAsia" w:ascii="宋体" w:hAnsi="宋体"/>
                <w:color w:val="auto"/>
                <w:sz w:val="22"/>
                <w:szCs w:val="22"/>
              </w:rPr>
            </w:pPr>
          </w:p>
        </w:tc>
        <w:tc>
          <w:tcPr>
            <w:tcW w:w="1417" w:type="dxa"/>
            <w:noWrap w:val="0"/>
            <w:vAlign w:val="top"/>
          </w:tcPr>
          <w:p>
            <w:pPr>
              <w:spacing w:line="360" w:lineRule="auto"/>
              <w:rPr>
                <w:rFonts w:hint="eastAsia" w:ascii="宋体" w:hAnsi="宋体"/>
                <w:color w:val="auto"/>
                <w:sz w:val="22"/>
                <w:szCs w:val="22"/>
              </w:rPr>
            </w:pPr>
          </w:p>
        </w:tc>
        <w:tc>
          <w:tcPr>
            <w:tcW w:w="1134" w:type="dxa"/>
            <w:noWrap w:val="0"/>
            <w:vAlign w:val="top"/>
          </w:tcPr>
          <w:p>
            <w:pPr>
              <w:spacing w:line="360" w:lineRule="auto"/>
              <w:rPr>
                <w:rFonts w:hint="eastAsia" w:ascii="宋体" w:hAnsi="宋体"/>
                <w:color w:val="auto"/>
                <w:sz w:val="22"/>
                <w:szCs w:val="22"/>
              </w:rPr>
            </w:pPr>
          </w:p>
        </w:tc>
        <w:tc>
          <w:tcPr>
            <w:tcW w:w="3260" w:type="dxa"/>
            <w:noWrap w:val="0"/>
            <w:vAlign w:val="top"/>
          </w:tcPr>
          <w:p>
            <w:pPr>
              <w:spacing w:line="360" w:lineRule="auto"/>
              <w:rPr>
                <w:rFonts w:hint="eastAsia" w:ascii="宋体" w:hAnsi="宋体"/>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2694" w:type="dxa"/>
            <w:noWrap w:val="0"/>
            <w:vAlign w:val="top"/>
          </w:tcPr>
          <w:p>
            <w:pPr>
              <w:spacing w:line="360" w:lineRule="auto"/>
              <w:rPr>
                <w:rFonts w:hint="eastAsia" w:ascii="宋体" w:hAnsi="宋体"/>
                <w:color w:val="auto"/>
                <w:sz w:val="22"/>
                <w:szCs w:val="22"/>
              </w:rPr>
            </w:pPr>
          </w:p>
        </w:tc>
        <w:tc>
          <w:tcPr>
            <w:tcW w:w="1417" w:type="dxa"/>
            <w:noWrap w:val="0"/>
            <w:vAlign w:val="top"/>
          </w:tcPr>
          <w:p>
            <w:pPr>
              <w:spacing w:line="360" w:lineRule="auto"/>
              <w:rPr>
                <w:rFonts w:hint="eastAsia" w:ascii="宋体" w:hAnsi="宋体"/>
                <w:color w:val="auto"/>
                <w:sz w:val="22"/>
                <w:szCs w:val="22"/>
              </w:rPr>
            </w:pPr>
          </w:p>
        </w:tc>
        <w:tc>
          <w:tcPr>
            <w:tcW w:w="1134" w:type="dxa"/>
            <w:noWrap w:val="0"/>
            <w:vAlign w:val="top"/>
          </w:tcPr>
          <w:p>
            <w:pPr>
              <w:spacing w:line="360" w:lineRule="auto"/>
              <w:rPr>
                <w:rFonts w:hint="eastAsia" w:ascii="宋体" w:hAnsi="宋体"/>
                <w:color w:val="auto"/>
                <w:sz w:val="22"/>
                <w:szCs w:val="22"/>
              </w:rPr>
            </w:pPr>
          </w:p>
        </w:tc>
        <w:tc>
          <w:tcPr>
            <w:tcW w:w="3260" w:type="dxa"/>
            <w:noWrap w:val="0"/>
            <w:vAlign w:val="top"/>
          </w:tcPr>
          <w:p>
            <w:pPr>
              <w:spacing w:line="360" w:lineRule="auto"/>
              <w:rPr>
                <w:rFonts w:hint="eastAsia" w:ascii="宋体" w:hAnsi="宋体"/>
                <w:color w:val="auto"/>
                <w:sz w:val="22"/>
                <w:szCs w:val="22"/>
              </w:rPr>
            </w:pPr>
          </w:p>
        </w:tc>
      </w:tr>
    </w:tbl>
    <w:p>
      <w:pPr>
        <w:adjustRightInd w:val="0"/>
        <w:snapToGrid w:val="0"/>
        <w:spacing w:line="360" w:lineRule="auto"/>
        <w:rPr>
          <w:rFonts w:hint="eastAsia" w:eastAsia="黑体"/>
          <w:color w:val="auto"/>
          <w:sz w:val="32"/>
        </w:rPr>
      </w:pPr>
    </w:p>
    <w:p>
      <w:pPr>
        <w:ind w:firstLine="1606" w:firstLineChars="500"/>
        <w:rPr>
          <w:rFonts w:hint="eastAsia" w:eastAsia="黑体"/>
          <w:b/>
          <w:bCs/>
          <w:color w:val="auto"/>
          <w:sz w:val="32"/>
        </w:rPr>
      </w:pPr>
    </w:p>
    <w:p>
      <w:pPr>
        <w:jc w:val="left"/>
        <w:rPr>
          <w:rFonts w:hint="eastAsia" w:ascii="宋体" w:hAnsi="宋体"/>
          <w:color w:val="auto"/>
          <w:spacing w:val="8"/>
          <w:sz w:val="24"/>
        </w:rPr>
      </w:pPr>
      <w:r>
        <w:rPr>
          <w:rFonts w:ascii="Calibri" w:hAnsi="Calibri" w:eastAsia="黑体"/>
          <w:color w:val="auto"/>
          <w:sz w:val="32"/>
        </w:rPr>
        <w:br w:type="page"/>
      </w:r>
      <w:r>
        <w:rPr>
          <w:rFonts w:ascii="宋体" w:hAnsi="宋体"/>
          <w:color w:val="auto"/>
          <w:spacing w:val="8"/>
          <w:sz w:val="24"/>
        </w:rPr>
        <w:t xml:space="preserve"> 附件七</w:t>
      </w:r>
      <w:r>
        <w:rPr>
          <w:rFonts w:hint="eastAsia" w:ascii="宋体" w:hAnsi="宋体"/>
          <w:color w:val="auto"/>
          <w:spacing w:val="8"/>
          <w:sz w:val="24"/>
        </w:rPr>
        <w:t>：</w:t>
      </w:r>
    </w:p>
    <w:p>
      <w:pPr>
        <w:spacing w:line="600" w:lineRule="exact"/>
        <w:jc w:val="center"/>
        <w:rPr>
          <w:rFonts w:ascii="宋体" w:hAnsi="宋体"/>
          <w:b/>
          <w:color w:val="auto"/>
          <w:sz w:val="32"/>
          <w:szCs w:val="20"/>
        </w:rPr>
      </w:pPr>
      <w:r>
        <w:rPr>
          <w:rFonts w:hint="eastAsia" w:ascii="宋体" w:hAnsi="宋体"/>
          <w:b/>
          <w:color w:val="auto"/>
          <w:sz w:val="32"/>
          <w:szCs w:val="20"/>
        </w:rPr>
        <w:t>工程量清单</w:t>
      </w:r>
    </w:p>
    <w:p>
      <w:pPr>
        <w:spacing w:line="360" w:lineRule="auto"/>
        <w:ind w:firstLine="643" w:firstLineChars="200"/>
        <w:jc w:val="left"/>
        <w:rPr>
          <w:rFonts w:hint="eastAsia" w:ascii="宋体" w:hAnsi="宋体"/>
          <w:b/>
          <w:color w:val="auto"/>
          <w:sz w:val="32"/>
          <w:szCs w:val="20"/>
        </w:rPr>
      </w:pPr>
    </w:p>
    <w:sectPr>
      <w:footerReference r:id="rId3" w:type="default"/>
      <w:pgSz w:w="11906" w:h="16838"/>
      <w:pgMar w:top="1134" w:right="1418" w:bottom="1134" w:left="1418"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华康简标题宋">
    <w:panose1 w:val="02010609000101010101"/>
    <w:charset w:val="00"/>
    <w:family w:val="modern"/>
    <w:pitch w:val="default"/>
    <w:sig w:usb0="00000001" w:usb1="00000000" w:usb2="00000000" w:usb3="00000000" w:csb0="00000001" w:csb1="00000000"/>
  </w:font>
  <w:font w:name="仿宋_GB2312">
    <w:panose1 w:val="02010609030101010101"/>
    <w:charset w:val="86"/>
    <w:family w:val="modern"/>
    <w:pitch w:val="default"/>
    <w:sig w:usb0="00000001" w:usb1="080E0000" w:usb2="00000000" w:usb3="00000000" w:csb0="00040000" w:csb1="00000000"/>
  </w:font>
  <w:font w:name="Times">
    <w:altName w:val="Times New Roman"/>
    <w:panose1 w:val="02020603050405020304"/>
    <w:charset w:val="00"/>
    <w:family w:val="roman"/>
    <w:pitch w:val="default"/>
    <w:sig w:usb0="E0002EFF" w:usb1="C000785B" w:usb2="00000009" w:usb3="00000000" w:csb0="000001FF" w:csb1="00000000"/>
  </w:font>
  <w:font w:name="Arial">
    <w:panose1 w:val="020B0604020202020204"/>
    <w:charset w:val="00"/>
    <w:family w:val="swiss"/>
    <w:pitch w:val="default"/>
    <w:sig w:usb0="E0002EFF" w:usb1="C000785B" w:usb2="00000009" w:usb3="00000000" w:csb0="400001FF" w:csb1="FFFF0000"/>
  </w:font>
  <w:font w:name="方正小标宋简体">
    <w:panose1 w:val="03000509000000000000"/>
    <w:charset w:val="86"/>
    <w:family w:val="script"/>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PAGE   \* MERGEFORMAT</w:instrText>
    </w:r>
    <w:r>
      <w:fldChar w:fldCharType="separate"/>
    </w:r>
    <w:r>
      <w:rPr>
        <w:lang w:val="zh-CN"/>
      </w:rPr>
      <w:t>4</w:t>
    </w:r>
    <w: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multilevel"/>
    <w:tmpl w:val="00000002"/>
    <w:lvl w:ilvl="0" w:tentative="0">
      <w:start w:val="1"/>
      <w:numFmt w:val="decimal"/>
      <w:lvlText w:val="%1、"/>
      <w:lvlJc w:val="left"/>
      <w:pPr>
        <w:tabs>
          <w:tab w:val="left" w:pos="900"/>
        </w:tabs>
        <w:ind w:left="907" w:hanging="340"/>
      </w:pPr>
      <w:rPr>
        <w:rFonts w:hint="default"/>
      </w:rPr>
    </w:lvl>
    <w:lvl w:ilvl="1" w:tentative="0">
      <w:start w:val="1"/>
      <w:numFmt w:val="decimal"/>
      <w:lvlText w:val="%2、"/>
      <w:lvlJc w:val="left"/>
      <w:pPr>
        <w:tabs>
          <w:tab w:val="left" w:pos="1020"/>
        </w:tabs>
        <w:ind w:left="1020" w:hanging="60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1C1457CA"/>
    <w:multiLevelType w:val="multilevel"/>
    <w:tmpl w:val="1C1457CA"/>
    <w:lvl w:ilvl="0" w:tentative="0">
      <w:start w:val="1"/>
      <w:numFmt w:val="decimal"/>
      <w:lvlText w:val="%1、"/>
      <w:lvlJc w:val="left"/>
      <w:pPr>
        <w:tabs>
          <w:tab w:val="left" w:pos="840"/>
        </w:tabs>
        <w:ind w:left="840" w:hanging="360"/>
      </w:pPr>
      <w:rPr>
        <w:rFonts w:hint="eastAsia"/>
      </w:r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2">
    <w:nsid w:val="2C2B23A7"/>
    <w:multiLevelType w:val="multilevel"/>
    <w:tmpl w:val="2C2B23A7"/>
    <w:lvl w:ilvl="0" w:tentative="0">
      <w:start w:val="1"/>
      <w:numFmt w:val="decimal"/>
      <w:lvlText w:val="%1、"/>
      <w:lvlJc w:val="left"/>
      <w:pPr>
        <w:tabs>
          <w:tab w:val="left" w:pos="961"/>
        </w:tabs>
        <w:ind w:left="961" w:hanging="360"/>
      </w:pPr>
      <w:rPr>
        <w:rFonts w:hint="eastAsia"/>
      </w:rPr>
    </w:lvl>
    <w:lvl w:ilvl="1" w:tentative="0">
      <w:start w:val="1"/>
      <w:numFmt w:val="lowerLetter"/>
      <w:lvlText w:val="%2)"/>
      <w:lvlJc w:val="left"/>
      <w:pPr>
        <w:tabs>
          <w:tab w:val="left" w:pos="1441"/>
        </w:tabs>
        <w:ind w:left="1441" w:hanging="420"/>
      </w:pPr>
    </w:lvl>
    <w:lvl w:ilvl="2" w:tentative="0">
      <w:start w:val="1"/>
      <w:numFmt w:val="lowerRoman"/>
      <w:lvlText w:val="%3."/>
      <w:lvlJc w:val="right"/>
      <w:pPr>
        <w:tabs>
          <w:tab w:val="left" w:pos="1861"/>
        </w:tabs>
        <w:ind w:left="1861" w:hanging="420"/>
      </w:pPr>
    </w:lvl>
    <w:lvl w:ilvl="3" w:tentative="0">
      <w:start w:val="1"/>
      <w:numFmt w:val="decimal"/>
      <w:lvlText w:val="%4."/>
      <w:lvlJc w:val="left"/>
      <w:pPr>
        <w:tabs>
          <w:tab w:val="left" w:pos="2281"/>
        </w:tabs>
        <w:ind w:left="2281" w:hanging="420"/>
      </w:pPr>
    </w:lvl>
    <w:lvl w:ilvl="4" w:tentative="0">
      <w:start w:val="1"/>
      <w:numFmt w:val="lowerLetter"/>
      <w:lvlText w:val="%5)"/>
      <w:lvlJc w:val="left"/>
      <w:pPr>
        <w:tabs>
          <w:tab w:val="left" w:pos="2701"/>
        </w:tabs>
        <w:ind w:left="2701" w:hanging="420"/>
      </w:pPr>
    </w:lvl>
    <w:lvl w:ilvl="5" w:tentative="0">
      <w:start w:val="1"/>
      <w:numFmt w:val="lowerRoman"/>
      <w:lvlText w:val="%6."/>
      <w:lvlJc w:val="right"/>
      <w:pPr>
        <w:tabs>
          <w:tab w:val="left" w:pos="3121"/>
        </w:tabs>
        <w:ind w:left="3121" w:hanging="420"/>
      </w:pPr>
    </w:lvl>
    <w:lvl w:ilvl="6" w:tentative="0">
      <w:start w:val="1"/>
      <w:numFmt w:val="decimal"/>
      <w:lvlText w:val="%7."/>
      <w:lvlJc w:val="left"/>
      <w:pPr>
        <w:tabs>
          <w:tab w:val="left" w:pos="3541"/>
        </w:tabs>
        <w:ind w:left="3541" w:hanging="420"/>
      </w:pPr>
    </w:lvl>
    <w:lvl w:ilvl="7" w:tentative="0">
      <w:start w:val="1"/>
      <w:numFmt w:val="lowerLetter"/>
      <w:lvlText w:val="%8)"/>
      <w:lvlJc w:val="left"/>
      <w:pPr>
        <w:tabs>
          <w:tab w:val="left" w:pos="3961"/>
        </w:tabs>
        <w:ind w:left="3961" w:hanging="420"/>
      </w:pPr>
    </w:lvl>
    <w:lvl w:ilvl="8" w:tentative="0">
      <w:start w:val="1"/>
      <w:numFmt w:val="lowerRoman"/>
      <w:lvlText w:val="%9."/>
      <w:lvlJc w:val="right"/>
      <w:pPr>
        <w:tabs>
          <w:tab w:val="left" w:pos="4381"/>
        </w:tabs>
        <w:ind w:left="4381" w:hanging="420"/>
      </w:pPr>
    </w:lvl>
  </w:abstractNum>
  <w:abstractNum w:abstractNumId="3">
    <w:nsid w:val="4D5A4498"/>
    <w:multiLevelType w:val="multilevel"/>
    <w:tmpl w:val="4D5A4498"/>
    <w:lvl w:ilvl="0" w:tentative="0">
      <w:start w:val="1"/>
      <w:numFmt w:val="decimal"/>
      <w:lvlText w:val="%1．"/>
      <w:lvlJc w:val="left"/>
      <w:pPr>
        <w:tabs>
          <w:tab w:val="left" w:pos="840"/>
        </w:tabs>
        <w:ind w:left="840" w:hanging="360"/>
      </w:pPr>
      <w:rPr>
        <w:rFonts w:hint="eastAsia"/>
      </w:r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4">
    <w:nsid w:val="5409AB4F"/>
    <w:multiLevelType w:val="singleLevel"/>
    <w:tmpl w:val="5409AB4F"/>
    <w:lvl w:ilvl="0" w:tentative="0">
      <w:start w:val="2"/>
      <w:numFmt w:val="decimal"/>
      <w:suff w:val="nothing"/>
      <w:lvlText w:val="（%1）"/>
      <w:lvlJc w:val="left"/>
    </w:lvl>
  </w:abstractNum>
  <w:abstractNum w:abstractNumId="5">
    <w:nsid w:val="69CE427D"/>
    <w:multiLevelType w:val="multilevel"/>
    <w:tmpl w:val="69CE427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7C964DAC"/>
    <w:multiLevelType w:val="multilevel"/>
    <w:tmpl w:val="7C964DAC"/>
    <w:lvl w:ilvl="0" w:tentative="0">
      <w:start w:val="3"/>
      <w:numFmt w:val="japaneseCounting"/>
      <w:lvlText w:val="第%1条"/>
      <w:lvlJc w:val="left"/>
      <w:pPr>
        <w:tabs>
          <w:tab w:val="left" w:pos="976"/>
        </w:tabs>
        <w:ind w:left="976" w:hanging="960"/>
      </w:pPr>
      <w:rPr>
        <w:rFonts w:hint="eastAsia"/>
      </w:rPr>
    </w:lvl>
    <w:lvl w:ilvl="1" w:tentative="0">
      <w:start w:val="1"/>
      <w:numFmt w:val="lowerLetter"/>
      <w:lvlText w:val="%2)"/>
      <w:lvlJc w:val="left"/>
      <w:pPr>
        <w:tabs>
          <w:tab w:val="left" w:pos="856"/>
        </w:tabs>
        <w:ind w:left="856" w:hanging="420"/>
      </w:pPr>
    </w:lvl>
    <w:lvl w:ilvl="2" w:tentative="0">
      <w:start w:val="1"/>
      <w:numFmt w:val="lowerRoman"/>
      <w:lvlText w:val="%3."/>
      <w:lvlJc w:val="right"/>
      <w:pPr>
        <w:tabs>
          <w:tab w:val="left" w:pos="1276"/>
        </w:tabs>
        <w:ind w:left="1276" w:hanging="420"/>
      </w:pPr>
    </w:lvl>
    <w:lvl w:ilvl="3" w:tentative="0">
      <w:start w:val="1"/>
      <w:numFmt w:val="decimal"/>
      <w:lvlText w:val="%4."/>
      <w:lvlJc w:val="left"/>
      <w:pPr>
        <w:tabs>
          <w:tab w:val="left" w:pos="1696"/>
        </w:tabs>
        <w:ind w:left="1696" w:hanging="420"/>
      </w:pPr>
    </w:lvl>
    <w:lvl w:ilvl="4" w:tentative="0">
      <w:start w:val="1"/>
      <w:numFmt w:val="lowerLetter"/>
      <w:lvlText w:val="%5)"/>
      <w:lvlJc w:val="left"/>
      <w:pPr>
        <w:tabs>
          <w:tab w:val="left" w:pos="2116"/>
        </w:tabs>
        <w:ind w:left="2116" w:hanging="420"/>
      </w:pPr>
    </w:lvl>
    <w:lvl w:ilvl="5" w:tentative="0">
      <w:start w:val="1"/>
      <w:numFmt w:val="lowerRoman"/>
      <w:lvlText w:val="%6."/>
      <w:lvlJc w:val="right"/>
      <w:pPr>
        <w:tabs>
          <w:tab w:val="left" w:pos="2536"/>
        </w:tabs>
        <w:ind w:left="2536" w:hanging="420"/>
      </w:pPr>
    </w:lvl>
    <w:lvl w:ilvl="6" w:tentative="0">
      <w:start w:val="1"/>
      <w:numFmt w:val="decimal"/>
      <w:lvlText w:val="%7."/>
      <w:lvlJc w:val="left"/>
      <w:pPr>
        <w:tabs>
          <w:tab w:val="left" w:pos="2956"/>
        </w:tabs>
        <w:ind w:left="2956" w:hanging="420"/>
      </w:pPr>
    </w:lvl>
    <w:lvl w:ilvl="7" w:tentative="0">
      <w:start w:val="1"/>
      <w:numFmt w:val="lowerLetter"/>
      <w:lvlText w:val="%8)"/>
      <w:lvlJc w:val="left"/>
      <w:pPr>
        <w:tabs>
          <w:tab w:val="left" w:pos="3376"/>
        </w:tabs>
        <w:ind w:left="3376" w:hanging="420"/>
      </w:pPr>
    </w:lvl>
    <w:lvl w:ilvl="8" w:tentative="0">
      <w:start w:val="1"/>
      <w:numFmt w:val="lowerRoman"/>
      <w:lvlText w:val="%9."/>
      <w:lvlJc w:val="right"/>
      <w:pPr>
        <w:tabs>
          <w:tab w:val="left" w:pos="3796"/>
        </w:tabs>
        <w:ind w:left="3796" w:hanging="420"/>
      </w:pPr>
    </w:lvl>
  </w:abstractNum>
  <w:num w:numId="1">
    <w:abstractNumId w:val="0"/>
  </w:num>
  <w:num w:numId="2">
    <w:abstractNumId w:val="6"/>
  </w:num>
  <w:num w:numId="3">
    <w:abstractNumId w:val="2"/>
  </w:num>
  <w:num w:numId="4">
    <w:abstractNumId w:val="3"/>
  </w:num>
  <w:num w:numId="5">
    <w:abstractNumId w:val="1"/>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k4NDRhY2NiZjM2NmJhOTgwM2Y3NTZkNmY4NTE1MjUifQ=="/>
  </w:docVars>
  <w:rsids>
    <w:rsidRoot w:val="001260AF"/>
    <w:rsid w:val="00000836"/>
    <w:rsid w:val="00002658"/>
    <w:rsid w:val="000035C0"/>
    <w:rsid w:val="00003E35"/>
    <w:rsid w:val="00004A75"/>
    <w:rsid w:val="00004B48"/>
    <w:rsid w:val="00004C11"/>
    <w:rsid w:val="00004E03"/>
    <w:rsid w:val="0000621C"/>
    <w:rsid w:val="00007815"/>
    <w:rsid w:val="00007AB0"/>
    <w:rsid w:val="00010668"/>
    <w:rsid w:val="000117B0"/>
    <w:rsid w:val="0001259A"/>
    <w:rsid w:val="00012910"/>
    <w:rsid w:val="00014F5D"/>
    <w:rsid w:val="00015A85"/>
    <w:rsid w:val="00015DA0"/>
    <w:rsid w:val="00016292"/>
    <w:rsid w:val="00016979"/>
    <w:rsid w:val="0001715C"/>
    <w:rsid w:val="00020071"/>
    <w:rsid w:val="000201AD"/>
    <w:rsid w:val="00021145"/>
    <w:rsid w:val="000214AC"/>
    <w:rsid w:val="00021DDE"/>
    <w:rsid w:val="00022178"/>
    <w:rsid w:val="0002382F"/>
    <w:rsid w:val="000238AB"/>
    <w:rsid w:val="00023CD5"/>
    <w:rsid w:val="00023D0E"/>
    <w:rsid w:val="000254DD"/>
    <w:rsid w:val="00030815"/>
    <w:rsid w:val="000317C7"/>
    <w:rsid w:val="00031944"/>
    <w:rsid w:val="00035143"/>
    <w:rsid w:val="0003515F"/>
    <w:rsid w:val="00035437"/>
    <w:rsid w:val="0003559B"/>
    <w:rsid w:val="0003599A"/>
    <w:rsid w:val="00037301"/>
    <w:rsid w:val="000373F2"/>
    <w:rsid w:val="0004008D"/>
    <w:rsid w:val="000407F5"/>
    <w:rsid w:val="00040921"/>
    <w:rsid w:val="00040EF1"/>
    <w:rsid w:val="00041293"/>
    <w:rsid w:val="0004212C"/>
    <w:rsid w:val="00042398"/>
    <w:rsid w:val="00042A5E"/>
    <w:rsid w:val="00044253"/>
    <w:rsid w:val="00044345"/>
    <w:rsid w:val="00044B6C"/>
    <w:rsid w:val="000453D2"/>
    <w:rsid w:val="0004545C"/>
    <w:rsid w:val="00045F52"/>
    <w:rsid w:val="0005075B"/>
    <w:rsid w:val="00050CEB"/>
    <w:rsid w:val="00051574"/>
    <w:rsid w:val="0005201D"/>
    <w:rsid w:val="000527E1"/>
    <w:rsid w:val="00053682"/>
    <w:rsid w:val="00053B2C"/>
    <w:rsid w:val="000542EA"/>
    <w:rsid w:val="00054BFD"/>
    <w:rsid w:val="00055625"/>
    <w:rsid w:val="00055EAF"/>
    <w:rsid w:val="00056963"/>
    <w:rsid w:val="00060D4F"/>
    <w:rsid w:val="00061543"/>
    <w:rsid w:val="00061D13"/>
    <w:rsid w:val="00061E3D"/>
    <w:rsid w:val="00062734"/>
    <w:rsid w:val="000628EC"/>
    <w:rsid w:val="00063065"/>
    <w:rsid w:val="00063253"/>
    <w:rsid w:val="00064C3A"/>
    <w:rsid w:val="0006502D"/>
    <w:rsid w:val="00065AF5"/>
    <w:rsid w:val="00066B45"/>
    <w:rsid w:val="00066CAA"/>
    <w:rsid w:val="0007082F"/>
    <w:rsid w:val="00071063"/>
    <w:rsid w:val="00071404"/>
    <w:rsid w:val="00071528"/>
    <w:rsid w:val="00071DA8"/>
    <w:rsid w:val="000724B1"/>
    <w:rsid w:val="00072841"/>
    <w:rsid w:val="0007289F"/>
    <w:rsid w:val="00072FC8"/>
    <w:rsid w:val="00075C92"/>
    <w:rsid w:val="000765AA"/>
    <w:rsid w:val="000766A2"/>
    <w:rsid w:val="00076A39"/>
    <w:rsid w:val="000775EC"/>
    <w:rsid w:val="00077D01"/>
    <w:rsid w:val="00077F61"/>
    <w:rsid w:val="00080780"/>
    <w:rsid w:val="00082C99"/>
    <w:rsid w:val="00082D3E"/>
    <w:rsid w:val="00082E19"/>
    <w:rsid w:val="00082F19"/>
    <w:rsid w:val="00083DC0"/>
    <w:rsid w:val="00085724"/>
    <w:rsid w:val="000904F0"/>
    <w:rsid w:val="00090659"/>
    <w:rsid w:val="00090E7B"/>
    <w:rsid w:val="00091677"/>
    <w:rsid w:val="00091F00"/>
    <w:rsid w:val="00091F69"/>
    <w:rsid w:val="00093129"/>
    <w:rsid w:val="000932CB"/>
    <w:rsid w:val="00093CED"/>
    <w:rsid w:val="0009486D"/>
    <w:rsid w:val="00094A06"/>
    <w:rsid w:val="00094AB4"/>
    <w:rsid w:val="00096A67"/>
    <w:rsid w:val="00096DCA"/>
    <w:rsid w:val="000974C1"/>
    <w:rsid w:val="00097ED1"/>
    <w:rsid w:val="000A08A3"/>
    <w:rsid w:val="000A1183"/>
    <w:rsid w:val="000A2EE7"/>
    <w:rsid w:val="000A43A6"/>
    <w:rsid w:val="000A4D1E"/>
    <w:rsid w:val="000A5705"/>
    <w:rsid w:val="000A63C0"/>
    <w:rsid w:val="000A6D95"/>
    <w:rsid w:val="000B188C"/>
    <w:rsid w:val="000B2FC3"/>
    <w:rsid w:val="000B3E58"/>
    <w:rsid w:val="000B4B34"/>
    <w:rsid w:val="000B7629"/>
    <w:rsid w:val="000C009D"/>
    <w:rsid w:val="000C0210"/>
    <w:rsid w:val="000C0C24"/>
    <w:rsid w:val="000C1387"/>
    <w:rsid w:val="000C34DE"/>
    <w:rsid w:val="000C3A98"/>
    <w:rsid w:val="000C3EE4"/>
    <w:rsid w:val="000C42FA"/>
    <w:rsid w:val="000C4916"/>
    <w:rsid w:val="000C4B1F"/>
    <w:rsid w:val="000C5237"/>
    <w:rsid w:val="000C584D"/>
    <w:rsid w:val="000C5FCE"/>
    <w:rsid w:val="000C6612"/>
    <w:rsid w:val="000D046E"/>
    <w:rsid w:val="000D05CB"/>
    <w:rsid w:val="000D229C"/>
    <w:rsid w:val="000D2D44"/>
    <w:rsid w:val="000D34DA"/>
    <w:rsid w:val="000D576D"/>
    <w:rsid w:val="000D57E4"/>
    <w:rsid w:val="000D5A0F"/>
    <w:rsid w:val="000D5D2D"/>
    <w:rsid w:val="000D762C"/>
    <w:rsid w:val="000D77DD"/>
    <w:rsid w:val="000D7A5E"/>
    <w:rsid w:val="000E014D"/>
    <w:rsid w:val="000E037C"/>
    <w:rsid w:val="000E0756"/>
    <w:rsid w:val="000E0EA4"/>
    <w:rsid w:val="000E1098"/>
    <w:rsid w:val="000E11B3"/>
    <w:rsid w:val="000E1AE3"/>
    <w:rsid w:val="000E1FCD"/>
    <w:rsid w:val="000E35B5"/>
    <w:rsid w:val="000E4860"/>
    <w:rsid w:val="000E5144"/>
    <w:rsid w:val="000E56B3"/>
    <w:rsid w:val="000E7204"/>
    <w:rsid w:val="000E7B36"/>
    <w:rsid w:val="000E7D37"/>
    <w:rsid w:val="000F0186"/>
    <w:rsid w:val="000F0AAF"/>
    <w:rsid w:val="000F3770"/>
    <w:rsid w:val="000F38FA"/>
    <w:rsid w:val="000F396D"/>
    <w:rsid w:val="000F3B14"/>
    <w:rsid w:val="000F66A3"/>
    <w:rsid w:val="000F71DD"/>
    <w:rsid w:val="000F7BF6"/>
    <w:rsid w:val="000F7DD7"/>
    <w:rsid w:val="000F7DF3"/>
    <w:rsid w:val="001014ED"/>
    <w:rsid w:val="00101714"/>
    <w:rsid w:val="00102B27"/>
    <w:rsid w:val="00104B8E"/>
    <w:rsid w:val="0010519F"/>
    <w:rsid w:val="00106B13"/>
    <w:rsid w:val="00106C4F"/>
    <w:rsid w:val="001116C7"/>
    <w:rsid w:val="00112D5D"/>
    <w:rsid w:val="00112DBC"/>
    <w:rsid w:val="00113136"/>
    <w:rsid w:val="00113F31"/>
    <w:rsid w:val="001153C7"/>
    <w:rsid w:val="00115EBE"/>
    <w:rsid w:val="001166B5"/>
    <w:rsid w:val="00116CC0"/>
    <w:rsid w:val="0011787E"/>
    <w:rsid w:val="00117BDF"/>
    <w:rsid w:val="00117C08"/>
    <w:rsid w:val="00120CBD"/>
    <w:rsid w:val="0012155F"/>
    <w:rsid w:val="00122543"/>
    <w:rsid w:val="00122AF7"/>
    <w:rsid w:val="001235D0"/>
    <w:rsid w:val="00123CF1"/>
    <w:rsid w:val="001251E2"/>
    <w:rsid w:val="001260AF"/>
    <w:rsid w:val="001263E4"/>
    <w:rsid w:val="001265F5"/>
    <w:rsid w:val="0012690F"/>
    <w:rsid w:val="0012711B"/>
    <w:rsid w:val="00127814"/>
    <w:rsid w:val="00131699"/>
    <w:rsid w:val="001342BF"/>
    <w:rsid w:val="00134907"/>
    <w:rsid w:val="00135769"/>
    <w:rsid w:val="00137146"/>
    <w:rsid w:val="0013793A"/>
    <w:rsid w:val="001379EF"/>
    <w:rsid w:val="00137C27"/>
    <w:rsid w:val="00141FF5"/>
    <w:rsid w:val="00143A90"/>
    <w:rsid w:val="00143BFB"/>
    <w:rsid w:val="00144D60"/>
    <w:rsid w:val="00145325"/>
    <w:rsid w:val="0015008E"/>
    <w:rsid w:val="001503BD"/>
    <w:rsid w:val="001504CC"/>
    <w:rsid w:val="0015307B"/>
    <w:rsid w:val="0015509F"/>
    <w:rsid w:val="001561F7"/>
    <w:rsid w:val="00161493"/>
    <w:rsid w:val="0016220E"/>
    <w:rsid w:val="00162E75"/>
    <w:rsid w:val="001634AC"/>
    <w:rsid w:val="0016384E"/>
    <w:rsid w:val="00163AA3"/>
    <w:rsid w:val="00164358"/>
    <w:rsid w:val="001667A3"/>
    <w:rsid w:val="00167955"/>
    <w:rsid w:val="001703CF"/>
    <w:rsid w:val="00170638"/>
    <w:rsid w:val="00172B16"/>
    <w:rsid w:val="00172B9B"/>
    <w:rsid w:val="00173398"/>
    <w:rsid w:val="00174845"/>
    <w:rsid w:val="0017489E"/>
    <w:rsid w:val="00176295"/>
    <w:rsid w:val="00176599"/>
    <w:rsid w:val="00181643"/>
    <w:rsid w:val="00181F0B"/>
    <w:rsid w:val="00182E57"/>
    <w:rsid w:val="0018314B"/>
    <w:rsid w:val="001831BF"/>
    <w:rsid w:val="001845A9"/>
    <w:rsid w:val="00186853"/>
    <w:rsid w:val="00187B03"/>
    <w:rsid w:val="00190B0B"/>
    <w:rsid w:val="0019128F"/>
    <w:rsid w:val="00191634"/>
    <w:rsid w:val="00192056"/>
    <w:rsid w:val="001926A8"/>
    <w:rsid w:val="001927EE"/>
    <w:rsid w:val="00193324"/>
    <w:rsid w:val="00193CAD"/>
    <w:rsid w:val="00193D27"/>
    <w:rsid w:val="00196B78"/>
    <w:rsid w:val="00196EE8"/>
    <w:rsid w:val="00197208"/>
    <w:rsid w:val="00197B7B"/>
    <w:rsid w:val="00197BFF"/>
    <w:rsid w:val="00197CE1"/>
    <w:rsid w:val="001A0480"/>
    <w:rsid w:val="001A13D1"/>
    <w:rsid w:val="001A14C7"/>
    <w:rsid w:val="001A2BDF"/>
    <w:rsid w:val="001A340D"/>
    <w:rsid w:val="001A3443"/>
    <w:rsid w:val="001A349A"/>
    <w:rsid w:val="001A357D"/>
    <w:rsid w:val="001A3902"/>
    <w:rsid w:val="001A4CAD"/>
    <w:rsid w:val="001A542F"/>
    <w:rsid w:val="001A5C28"/>
    <w:rsid w:val="001A66FA"/>
    <w:rsid w:val="001A687E"/>
    <w:rsid w:val="001B0AF8"/>
    <w:rsid w:val="001B1328"/>
    <w:rsid w:val="001B1DB3"/>
    <w:rsid w:val="001B4D23"/>
    <w:rsid w:val="001B5C27"/>
    <w:rsid w:val="001B661F"/>
    <w:rsid w:val="001B73ED"/>
    <w:rsid w:val="001B7C77"/>
    <w:rsid w:val="001B7E14"/>
    <w:rsid w:val="001C0CE9"/>
    <w:rsid w:val="001C12B4"/>
    <w:rsid w:val="001C1777"/>
    <w:rsid w:val="001C1BF5"/>
    <w:rsid w:val="001C253A"/>
    <w:rsid w:val="001C28FD"/>
    <w:rsid w:val="001C2F95"/>
    <w:rsid w:val="001C33A4"/>
    <w:rsid w:val="001C5253"/>
    <w:rsid w:val="001C576F"/>
    <w:rsid w:val="001C5A20"/>
    <w:rsid w:val="001C629E"/>
    <w:rsid w:val="001C78B4"/>
    <w:rsid w:val="001C7996"/>
    <w:rsid w:val="001D093D"/>
    <w:rsid w:val="001D176E"/>
    <w:rsid w:val="001D1831"/>
    <w:rsid w:val="001D2423"/>
    <w:rsid w:val="001D298E"/>
    <w:rsid w:val="001D2D37"/>
    <w:rsid w:val="001D434A"/>
    <w:rsid w:val="001D5007"/>
    <w:rsid w:val="001D5159"/>
    <w:rsid w:val="001D52DC"/>
    <w:rsid w:val="001D613C"/>
    <w:rsid w:val="001D7010"/>
    <w:rsid w:val="001D7546"/>
    <w:rsid w:val="001D7B3D"/>
    <w:rsid w:val="001E0259"/>
    <w:rsid w:val="001E05B2"/>
    <w:rsid w:val="001E0A10"/>
    <w:rsid w:val="001E0EEC"/>
    <w:rsid w:val="001E19D9"/>
    <w:rsid w:val="001E27A1"/>
    <w:rsid w:val="001E2847"/>
    <w:rsid w:val="001E2A5F"/>
    <w:rsid w:val="001E2D92"/>
    <w:rsid w:val="001E3EEA"/>
    <w:rsid w:val="001E3F47"/>
    <w:rsid w:val="001E3FB0"/>
    <w:rsid w:val="001E71B9"/>
    <w:rsid w:val="001F00D6"/>
    <w:rsid w:val="001F1112"/>
    <w:rsid w:val="001F22DB"/>
    <w:rsid w:val="001F3AE4"/>
    <w:rsid w:val="001F3FFC"/>
    <w:rsid w:val="001F54CF"/>
    <w:rsid w:val="001F5D92"/>
    <w:rsid w:val="001F689A"/>
    <w:rsid w:val="001F6DAE"/>
    <w:rsid w:val="001F6ECE"/>
    <w:rsid w:val="00200888"/>
    <w:rsid w:val="00200A66"/>
    <w:rsid w:val="00202A3E"/>
    <w:rsid w:val="00202C83"/>
    <w:rsid w:val="00203099"/>
    <w:rsid w:val="00203C64"/>
    <w:rsid w:val="0020445A"/>
    <w:rsid w:val="00204657"/>
    <w:rsid w:val="002049A4"/>
    <w:rsid w:val="00205132"/>
    <w:rsid w:val="00205A5E"/>
    <w:rsid w:val="002060F5"/>
    <w:rsid w:val="00206AFA"/>
    <w:rsid w:val="00206E57"/>
    <w:rsid w:val="00206F58"/>
    <w:rsid w:val="00207AFA"/>
    <w:rsid w:val="002108E0"/>
    <w:rsid w:val="0021186B"/>
    <w:rsid w:val="00211D2E"/>
    <w:rsid w:val="002125DA"/>
    <w:rsid w:val="0021304D"/>
    <w:rsid w:val="00213BE8"/>
    <w:rsid w:val="00216B77"/>
    <w:rsid w:val="00217F94"/>
    <w:rsid w:val="00220283"/>
    <w:rsid w:val="00220919"/>
    <w:rsid w:val="00222703"/>
    <w:rsid w:val="00226AD2"/>
    <w:rsid w:val="0022719B"/>
    <w:rsid w:val="00227B69"/>
    <w:rsid w:val="00230FF8"/>
    <w:rsid w:val="00231E5C"/>
    <w:rsid w:val="002341B6"/>
    <w:rsid w:val="002349B1"/>
    <w:rsid w:val="00235349"/>
    <w:rsid w:val="0023591F"/>
    <w:rsid w:val="0023739B"/>
    <w:rsid w:val="002422DC"/>
    <w:rsid w:val="00242B0C"/>
    <w:rsid w:val="00242E97"/>
    <w:rsid w:val="00243005"/>
    <w:rsid w:val="00243051"/>
    <w:rsid w:val="00245035"/>
    <w:rsid w:val="002458F1"/>
    <w:rsid w:val="00245925"/>
    <w:rsid w:val="00246800"/>
    <w:rsid w:val="00246D40"/>
    <w:rsid w:val="002477DC"/>
    <w:rsid w:val="00247D0D"/>
    <w:rsid w:val="00250BB2"/>
    <w:rsid w:val="00250C01"/>
    <w:rsid w:val="00250DFE"/>
    <w:rsid w:val="002527EF"/>
    <w:rsid w:val="002538A9"/>
    <w:rsid w:val="002561C6"/>
    <w:rsid w:val="00257971"/>
    <w:rsid w:val="002600F4"/>
    <w:rsid w:val="002612AA"/>
    <w:rsid w:val="00262DED"/>
    <w:rsid w:val="00262FB7"/>
    <w:rsid w:val="00264DBF"/>
    <w:rsid w:val="00264DF6"/>
    <w:rsid w:val="002662F0"/>
    <w:rsid w:val="00267855"/>
    <w:rsid w:val="00267C6D"/>
    <w:rsid w:val="002725B4"/>
    <w:rsid w:val="00272FE6"/>
    <w:rsid w:val="00273026"/>
    <w:rsid w:val="002732F1"/>
    <w:rsid w:val="0027443F"/>
    <w:rsid w:val="002751A6"/>
    <w:rsid w:val="00275591"/>
    <w:rsid w:val="00275A70"/>
    <w:rsid w:val="00275A93"/>
    <w:rsid w:val="002773A9"/>
    <w:rsid w:val="00280989"/>
    <w:rsid w:val="00280A94"/>
    <w:rsid w:val="00281B5D"/>
    <w:rsid w:val="00282064"/>
    <w:rsid w:val="00282852"/>
    <w:rsid w:val="00282C0C"/>
    <w:rsid w:val="00283546"/>
    <w:rsid w:val="00284308"/>
    <w:rsid w:val="002845DD"/>
    <w:rsid w:val="002847F0"/>
    <w:rsid w:val="00284D06"/>
    <w:rsid w:val="00286E43"/>
    <w:rsid w:val="00287B2E"/>
    <w:rsid w:val="002900CD"/>
    <w:rsid w:val="00290609"/>
    <w:rsid w:val="0029180E"/>
    <w:rsid w:val="00291F6B"/>
    <w:rsid w:val="0029203E"/>
    <w:rsid w:val="002920B7"/>
    <w:rsid w:val="002925BA"/>
    <w:rsid w:val="00292EC5"/>
    <w:rsid w:val="00293230"/>
    <w:rsid w:val="002939BC"/>
    <w:rsid w:val="00295016"/>
    <w:rsid w:val="0029545F"/>
    <w:rsid w:val="00296A64"/>
    <w:rsid w:val="002A1C89"/>
    <w:rsid w:val="002A1CA6"/>
    <w:rsid w:val="002A1F41"/>
    <w:rsid w:val="002A3340"/>
    <w:rsid w:val="002A5288"/>
    <w:rsid w:val="002A5B7D"/>
    <w:rsid w:val="002A6194"/>
    <w:rsid w:val="002A7426"/>
    <w:rsid w:val="002A7D74"/>
    <w:rsid w:val="002B05AB"/>
    <w:rsid w:val="002B05DB"/>
    <w:rsid w:val="002B0629"/>
    <w:rsid w:val="002B0EE9"/>
    <w:rsid w:val="002B125B"/>
    <w:rsid w:val="002B1FAE"/>
    <w:rsid w:val="002B3FE8"/>
    <w:rsid w:val="002B7093"/>
    <w:rsid w:val="002C0B0A"/>
    <w:rsid w:val="002C0BC9"/>
    <w:rsid w:val="002C1BDE"/>
    <w:rsid w:val="002C1DC5"/>
    <w:rsid w:val="002C741F"/>
    <w:rsid w:val="002C76DB"/>
    <w:rsid w:val="002D2072"/>
    <w:rsid w:val="002D43F3"/>
    <w:rsid w:val="002D542E"/>
    <w:rsid w:val="002D691B"/>
    <w:rsid w:val="002D6926"/>
    <w:rsid w:val="002D72D1"/>
    <w:rsid w:val="002D7C0E"/>
    <w:rsid w:val="002E08B9"/>
    <w:rsid w:val="002E131F"/>
    <w:rsid w:val="002E1F6A"/>
    <w:rsid w:val="002E3AF9"/>
    <w:rsid w:val="002E5F69"/>
    <w:rsid w:val="002F3556"/>
    <w:rsid w:val="002F3708"/>
    <w:rsid w:val="002F5EBE"/>
    <w:rsid w:val="00300C59"/>
    <w:rsid w:val="003025E5"/>
    <w:rsid w:val="003032D1"/>
    <w:rsid w:val="00303B57"/>
    <w:rsid w:val="00303C91"/>
    <w:rsid w:val="003042CA"/>
    <w:rsid w:val="003054A1"/>
    <w:rsid w:val="00305687"/>
    <w:rsid w:val="00305E5C"/>
    <w:rsid w:val="0030633C"/>
    <w:rsid w:val="00306655"/>
    <w:rsid w:val="00306FBD"/>
    <w:rsid w:val="003070A6"/>
    <w:rsid w:val="00307472"/>
    <w:rsid w:val="0031201E"/>
    <w:rsid w:val="00312E88"/>
    <w:rsid w:val="00313721"/>
    <w:rsid w:val="00314534"/>
    <w:rsid w:val="003150CA"/>
    <w:rsid w:val="003151E4"/>
    <w:rsid w:val="0031611E"/>
    <w:rsid w:val="0031630A"/>
    <w:rsid w:val="003166BA"/>
    <w:rsid w:val="00320037"/>
    <w:rsid w:val="0032086C"/>
    <w:rsid w:val="003220EB"/>
    <w:rsid w:val="00322340"/>
    <w:rsid w:val="003235AD"/>
    <w:rsid w:val="00323870"/>
    <w:rsid w:val="003243C7"/>
    <w:rsid w:val="00324F96"/>
    <w:rsid w:val="003257E3"/>
    <w:rsid w:val="00325B40"/>
    <w:rsid w:val="00326221"/>
    <w:rsid w:val="0032714F"/>
    <w:rsid w:val="0032767D"/>
    <w:rsid w:val="00327DD1"/>
    <w:rsid w:val="00330B2A"/>
    <w:rsid w:val="0033172C"/>
    <w:rsid w:val="00331860"/>
    <w:rsid w:val="003319FE"/>
    <w:rsid w:val="0033262F"/>
    <w:rsid w:val="00332EDB"/>
    <w:rsid w:val="00333F36"/>
    <w:rsid w:val="003344BF"/>
    <w:rsid w:val="00334F31"/>
    <w:rsid w:val="00335A79"/>
    <w:rsid w:val="00340FFB"/>
    <w:rsid w:val="003423BE"/>
    <w:rsid w:val="00343ED9"/>
    <w:rsid w:val="00344AA5"/>
    <w:rsid w:val="003456FC"/>
    <w:rsid w:val="00345B57"/>
    <w:rsid w:val="00346AB6"/>
    <w:rsid w:val="00346F42"/>
    <w:rsid w:val="00350AA4"/>
    <w:rsid w:val="0035162A"/>
    <w:rsid w:val="00352496"/>
    <w:rsid w:val="003527BE"/>
    <w:rsid w:val="00352993"/>
    <w:rsid w:val="00352A53"/>
    <w:rsid w:val="003548EA"/>
    <w:rsid w:val="0035531E"/>
    <w:rsid w:val="0035751D"/>
    <w:rsid w:val="003575D7"/>
    <w:rsid w:val="00357CC3"/>
    <w:rsid w:val="00360432"/>
    <w:rsid w:val="00361625"/>
    <w:rsid w:val="0036167C"/>
    <w:rsid w:val="0036214F"/>
    <w:rsid w:val="00362A25"/>
    <w:rsid w:val="00364028"/>
    <w:rsid w:val="00365177"/>
    <w:rsid w:val="00366498"/>
    <w:rsid w:val="0036659C"/>
    <w:rsid w:val="003675E6"/>
    <w:rsid w:val="0036763D"/>
    <w:rsid w:val="0037280B"/>
    <w:rsid w:val="00373112"/>
    <w:rsid w:val="003733E0"/>
    <w:rsid w:val="00373E2E"/>
    <w:rsid w:val="00374D7C"/>
    <w:rsid w:val="00374F38"/>
    <w:rsid w:val="0037556C"/>
    <w:rsid w:val="003772BB"/>
    <w:rsid w:val="003776E5"/>
    <w:rsid w:val="00380D8C"/>
    <w:rsid w:val="003810DB"/>
    <w:rsid w:val="003830EA"/>
    <w:rsid w:val="00385892"/>
    <w:rsid w:val="00385AAD"/>
    <w:rsid w:val="00385C6E"/>
    <w:rsid w:val="00386166"/>
    <w:rsid w:val="00386899"/>
    <w:rsid w:val="0039119A"/>
    <w:rsid w:val="00391B11"/>
    <w:rsid w:val="00392229"/>
    <w:rsid w:val="00393EDB"/>
    <w:rsid w:val="00394386"/>
    <w:rsid w:val="00394672"/>
    <w:rsid w:val="00394EDE"/>
    <w:rsid w:val="00395E5C"/>
    <w:rsid w:val="00395F12"/>
    <w:rsid w:val="00396B25"/>
    <w:rsid w:val="00396E9E"/>
    <w:rsid w:val="003A06F6"/>
    <w:rsid w:val="003A0E1F"/>
    <w:rsid w:val="003A2C9E"/>
    <w:rsid w:val="003A3007"/>
    <w:rsid w:val="003A4EDF"/>
    <w:rsid w:val="003A744B"/>
    <w:rsid w:val="003A7A8C"/>
    <w:rsid w:val="003A7D2F"/>
    <w:rsid w:val="003B0CDA"/>
    <w:rsid w:val="003B247D"/>
    <w:rsid w:val="003B30F3"/>
    <w:rsid w:val="003B3826"/>
    <w:rsid w:val="003B3EC4"/>
    <w:rsid w:val="003B3FA9"/>
    <w:rsid w:val="003B4D69"/>
    <w:rsid w:val="003B6493"/>
    <w:rsid w:val="003B759B"/>
    <w:rsid w:val="003C007D"/>
    <w:rsid w:val="003C2E80"/>
    <w:rsid w:val="003C4AE0"/>
    <w:rsid w:val="003C64B2"/>
    <w:rsid w:val="003C725B"/>
    <w:rsid w:val="003C78B7"/>
    <w:rsid w:val="003D0471"/>
    <w:rsid w:val="003D303B"/>
    <w:rsid w:val="003D35FC"/>
    <w:rsid w:val="003D5FF7"/>
    <w:rsid w:val="003D66EF"/>
    <w:rsid w:val="003D7A44"/>
    <w:rsid w:val="003D7D65"/>
    <w:rsid w:val="003E0939"/>
    <w:rsid w:val="003E0E66"/>
    <w:rsid w:val="003E2A08"/>
    <w:rsid w:val="003E35F2"/>
    <w:rsid w:val="003E3E05"/>
    <w:rsid w:val="003E4204"/>
    <w:rsid w:val="003E44DE"/>
    <w:rsid w:val="003E47D7"/>
    <w:rsid w:val="003E4F89"/>
    <w:rsid w:val="003E592E"/>
    <w:rsid w:val="003E5D8C"/>
    <w:rsid w:val="003E6026"/>
    <w:rsid w:val="003E61B6"/>
    <w:rsid w:val="003E79A8"/>
    <w:rsid w:val="003F121D"/>
    <w:rsid w:val="003F123B"/>
    <w:rsid w:val="003F2A67"/>
    <w:rsid w:val="003F53D4"/>
    <w:rsid w:val="003F5502"/>
    <w:rsid w:val="003F668D"/>
    <w:rsid w:val="003F6C36"/>
    <w:rsid w:val="003F74AC"/>
    <w:rsid w:val="004027EA"/>
    <w:rsid w:val="00403FFF"/>
    <w:rsid w:val="004042F8"/>
    <w:rsid w:val="00404804"/>
    <w:rsid w:val="004049C2"/>
    <w:rsid w:val="0040588E"/>
    <w:rsid w:val="00406CD8"/>
    <w:rsid w:val="00406E55"/>
    <w:rsid w:val="004079CD"/>
    <w:rsid w:val="004121D8"/>
    <w:rsid w:val="0041305A"/>
    <w:rsid w:val="00413C37"/>
    <w:rsid w:val="0041592D"/>
    <w:rsid w:val="00417F54"/>
    <w:rsid w:val="0042178E"/>
    <w:rsid w:val="00422D9C"/>
    <w:rsid w:val="00423A45"/>
    <w:rsid w:val="00423BCA"/>
    <w:rsid w:val="0042628A"/>
    <w:rsid w:val="00430A75"/>
    <w:rsid w:val="00430D9E"/>
    <w:rsid w:val="004320DC"/>
    <w:rsid w:val="004331B4"/>
    <w:rsid w:val="00433355"/>
    <w:rsid w:val="0043394D"/>
    <w:rsid w:val="004339F4"/>
    <w:rsid w:val="00433EE8"/>
    <w:rsid w:val="00435F73"/>
    <w:rsid w:val="004374F6"/>
    <w:rsid w:val="00437791"/>
    <w:rsid w:val="00437B54"/>
    <w:rsid w:val="00437BFC"/>
    <w:rsid w:val="00437F10"/>
    <w:rsid w:val="004405E8"/>
    <w:rsid w:val="00441E31"/>
    <w:rsid w:val="00441EF6"/>
    <w:rsid w:val="0044214F"/>
    <w:rsid w:val="00443D59"/>
    <w:rsid w:val="004440D7"/>
    <w:rsid w:val="004464DF"/>
    <w:rsid w:val="004471BB"/>
    <w:rsid w:val="004475DA"/>
    <w:rsid w:val="00447681"/>
    <w:rsid w:val="004508E9"/>
    <w:rsid w:val="00451B4C"/>
    <w:rsid w:val="00451E8D"/>
    <w:rsid w:val="0046030A"/>
    <w:rsid w:val="00460828"/>
    <w:rsid w:val="0046165B"/>
    <w:rsid w:val="00461CE5"/>
    <w:rsid w:val="00461DF6"/>
    <w:rsid w:val="004633C9"/>
    <w:rsid w:val="00463DCA"/>
    <w:rsid w:val="00464242"/>
    <w:rsid w:val="00464EA6"/>
    <w:rsid w:val="00466C83"/>
    <w:rsid w:val="00467F1A"/>
    <w:rsid w:val="0047019E"/>
    <w:rsid w:val="0047289D"/>
    <w:rsid w:val="00472EBD"/>
    <w:rsid w:val="004732EA"/>
    <w:rsid w:val="004749EA"/>
    <w:rsid w:val="00474F26"/>
    <w:rsid w:val="00476A24"/>
    <w:rsid w:val="004771F8"/>
    <w:rsid w:val="00477A31"/>
    <w:rsid w:val="0048123C"/>
    <w:rsid w:val="0048138E"/>
    <w:rsid w:val="004823DE"/>
    <w:rsid w:val="004824E7"/>
    <w:rsid w:val="00483638"/>
    <w:rsid w:val="004858B0"/>
    <w:rsid w:val="00485C7C"/>
    <w:rsid w:val="00485C80"/>
    <w:rsid w:val="0048656B"/>
    <w:rsid w:val="00487356"/>
    <w:rsid w:val="004878AF"/>
    <w:rsid w:val="004919AC"/>
    <w:rsid w:val="004919F7"/>
    <w:rsid w:val="00491B66"/>
    <w:rsid w:val="00492CD7"/>
    <w:rsid w:val="00492D57"/>
    <w:rsid w:val="00494737"/>
    <w:rsid w:val="00494EE4"/>
    <w:rsid w:val="00495F21"/>
    <w:rsid w:val="004960BE"/>
    <w:rsid w:val="004972F6"/>
    <w:rsid w:val="004A2620"/>
    <w:rsid w:val="004A5C4F"/>
    <w:rsid w:val="004A6D4B"/>
    <w:rsid w:val="004A78FE"/>
    <w:rsid w:val="004A7988"/>
    <w:rsid w:val="004B0C01"/>
    <w:rsid w:val="004B0D94"/>
    <w:rsid w:val="004B16CC"/>
    <w:rsid w:val="004B173A"/>
    <w:rsid w:val="004B18A0"/>
    <w:rsid w:val="004B292B"/>
    <w:rsid w:val="004B3688"/>
    <w:rsid w:val="004B384F"/>
    <w:rsid w:val="004B3990"/>
    <w:rsid w:val="004B40ED"/>
    <w:rsid w:val="004B4424"/>
    <w:rsid w:val="004B5538"/>
    <w:rsid w:val="004B5952"/>
    <w:rsid w:val="004B7B63"/>
    <w:rsid w:val="004C050B"/>
    <w:rsid w:val="004C0F2C"/>
    <w:rsid w:val="004C144A"/>
    <w:rsid w:val="004C1B27"/>
    <w:rsid w:val="004C1B91"/>
    <w:rsid w:val="004C2439"/>
    <w:rsid w:val="004C36EA"/>
    <w:rsid w:val="004C3861"/>
    <w:rsid w:val="004C7056"/>
    <w:rsid w:val="004C7909"/>
    <w:rsid w:val="004D0738"/>
    <w:rsid w:val="004D2EAE"/>
    <w:rsid w:val="004D324F"/>
    <w:rsid w:val="004D385A"/>
    <w:rsid w:val="004D440F"/>
    <w:rsid w:val="004D470A"/>
    <w:rsid w:val="004D4A70"/>
    <w:rsid w:val="004D6133"/>
    <w:rsid w:val="004D668E"/>
    <w:rsid w:val="004E008F"/>
    <w:rsid w:val="004E18CA"/>
    <w:rsid w:val="004E1BF5"/>
    <w:rsid w:val="004E2681"/>
    <w:rsid w:val="004E35E3"/>
    <w:rsid w:val="004E3697"/>
    <w:rsid w:val="004E4112"/>
    <w:rsid w:val="004E4806"/>
    <w:rsid w:val="004E6653"/>
    <w:rsid w:val="004E6DC7"/>
    <w:rsid w:val="004E707A"/>
    <w:rsid w:val="004E7104"/>
    <w:rsid w:val="004F0821"/>
    <w:rsid w:val="004F0D07"/>
    <w:rsid w:val="004F0ED0"/>
    <w:rsid w:val="004F102D"/>
    <w:rsid w:val="004F3850"/>
    <w:rsid w:val="004F3CBE"/>
    <w:rsid w:val="004F3E32"/>
    <w:rsid w:val="004F431F"/>
    <w:rsid w:val="004F4F06"/>
    <w:rsid w:val="004F5053"/>
    <w:rsid w:val="004F5EA2"/>
    <w:rsid w:val="004F60C4"/>
    <w:rsid w:val="004F65F8"/>
    <w:rsid w:val="005008D9"/>
    <w:rsid w:val="00500EA3"/>
    <w:rsid w:val="0050127D"/>
    <w:rsid w:val="00504452"/>
    <w:rsid w:val="0050734B"/>
    <w:rsid w:val="005106B4"/>
    <w:rsid w:val="00511913"/>
    <w:rsid w:val="00511952"/>
    <w:rsid w:val="00512219"/>
    <w:rsid w:val="0051248E"/>
    <w:rsid w:val="00513E20"/>
    <w:rsid w:val="0051469D"/>
    <w:rsid w:val="0051556E"/>
    <w:rsid w:val="00515BF8"/>
    <w:rsid w:val="005162C7"/>
    <w:rsid w:val="00517155"/>
    <w:rsid w:val="005205BA"/>
    <w:rsid w:val="005217FD"/>
    <w:rsid w:val="00521C47"/>
    <w:rsid w:val="00521EB1"/>
    <w:rsid w:val="005228F2"/>
    <w:rsid w:val="005236AB"/>
    <w:rsid w:val="005246CC"/>
    <w:rsid w:val="00525697"/>
    <w:rsid w:val="005258F4"/>
    <w:rsid w:val="0052649C"/>
    <w:rsid w:val="00527144"/>
    <w:rsid w:val="00527D3D"/>
    <w:rsid w:val="00531759"/>
    <w:rsid w:val="00532751"/>
    <w:rsid w:val="00533C74"/>
    <w:rsid w:val="00534931"/>
    <w:rsid w:val="00535B30"/>
    <w:rsid w:val="0053656E"/>
    <w:rsid w:val="005400D9"/>
    <w:rsid w:val="00540656"/>
    <w:rsid w:val="005441B3"/>
    <w:rsid w:val="00545200"/>
    <w:rsid w:val="0054626B"/>
    <w:rsid w:val="005462F2"/>
    <w:rsid w:val="00546AF2"/>
    <w:rsid w:val="00547271"/>
    <w:rsid w:val="0055069E"/>
    <w:rsid w:val="0055073D"/>
    <w:rsid w:val="0055162B"/>
    <w:rsid w:val="00552513"/>
    <w:rsid w:val="0055339B"/>
    <w:rsid w:val="005534E4"/>
    <w:rsid w:val="00554CC6"/>
    <w:rsid w:val="00556A56"/>
    <w:rsid w:val="005577FD"/>
    <w:rsid w:val="005613DB"/>
    <w:rsid w:val="005636FE"/>
    <w:rsid w:val="0056385B"/>
    <w:rsid w:val="00564F7A"/>
    <w:rsid w:val="00565A1C"/>
    <w:rsid w:val="005664A5"/>
    <w:rsid w:val="00566F84"/>
    <w:rsid w:val="00567174"/>
    <w:rsid w:val="00567616"/>
    <w:rsid w:val="00567A66"/>
    <w:rsid w:val="005708EA"/>
    <w:rsid w:val="00570E74"/>
    <w:rsid w:val="00571502"/>
    <w:rsid w:val="00571885"/>
    <w:rsid w:val="00571F7C"/>
    <w:rsid w:val="00573CAD"/>
    <w:rsid w:val="005742C2"/>
    <w:rsid w:val="005745F0"/>
    <w:rsid w:val="00574C8D"/>
    <w:rsid w:val="0057644A"/>
    <w:rsid w:val="00576AD0"/>
    <w:rsid w:val="005771EF"/>
    <w:rsid w:val="00577A7A"/>
    <w:rsid w:val="00577BFB"/>
    <w:rsid w:val="00577D21"/>
    <w:rsid w:val="005802AD"/>
    <w:rsid w:val="005804AC"/>
    <w:rsid w:val="005812AA"/>
    <w:rsid w:val="005813B0"/>
    <w:rsid w:val="0058164B"/>
    <w:rsid w:val="00582755"/>
    <w:rsid w:val="0058301F"/>
    <w:rsid w:val="0058350A"/>
    <w:rsid w:val="00583A1F"/>
    <w:rsid w:val="00583ADD"/>
    <w:rsid w:val="00586AD1"/>
    <w:rsid w:val="00586F22"/>
    <w:rsid w:val="005871A8"/>
    <w:rsid w:val="00587453"/>
    <w:rsid w:val="00587C1D"/>
    <w:rsid w:val="005909F0"/>
    <w:rsid w:val="00590BC2"/>
    <w:rsid w:val="005912F7"/>
    <w:rsid w:val="005915E7"/>
    <w:rsid w:val="00591924"/>
    <w:rsid w:val="00591DCF"/>
    <w:rsid w:val="00592019"/>
    <w:rsid w:val="005943B6"/>
    <w:rsid w:val="00595CA6"/>
    <w:rsid w:val="005961E3"/>
    <w:rsid w:val="005A082E"/>
    <w:rsid w:val="005A103E"/>
    <w:rsid w:val="005A160B"/>
    <w:rsid w:val="005A17AD"/>
    <w:rsid w:val="005A2454"/>
    <w:rsid w:val="005A2ABF"/>
    <w:rsid w:val="005A4A5E"/>
    <w:rsid w:val="005A584B"/>
    <w:rsid w:val="005B1B80"/>
    <w:rsid w:val="005B2B9B"/>
    <w:rsid w:val="005B4119"/>
    <w:rsid w:val="005B4427"/>
    <w:rsid w:val="005B4EC0"/>
    <w:rsid w:val="005B5182"/>
    <w:rsid w:val="005B6967"/>
    <w:rsid w:val="005C1B1D"/>
    <w:rsid w:val="005C21D3"/>
    <w:rsid w:val="005C2385"/>
    <w:rsid w:val="005C2F01"/>
    <w:rsid w:val="005C30B7"/>
    <w:rsid w:val="005C3628"/>
    <w:rsid w:val="005C3AE6"/>
    <w:rsid w:val="005C3DE0"/>
    <w:rsid w:val="005C4C3B"/>
    <w:rsid w:val="005C4CED"/>
    <w:rsid w:val="005C4D23"/>
    <w:rsid w:val="005C5C13"/>
    <w:rsid w:val="005C5C58"/>
    <w:rsid w:val="005C5F9B"/>
    <w:rsid w:val="005C6EE5"/>
    <w:rsid w:val="005D0373"/>
    <w:rsid w:val="005D0883"/>
    <w:rsid w:val="005D11F7"/>
    <w:rsid w:val="005D315A"/>
    <w:rsid w:val="005D48A2"/>
    <w:rsid w:val="005D497E"/>
    <w:rsid w:val="005D5E81"/>
    <w:rsid w:val="005D6A52"/>
    <w:rsid w:val="005D6B12"/>
    <w:rsid w:val="005D784D"/>
    <w:rsid w:val="005E1E7A"/>
    <w:rsid w:val="005E326A"/>
    <w:rsid w:val="005E3EBD"/>
    <w:rsid w:val="005E6639"/>
    <w:rsid w:val="005E6C91"/>
    <w:rsid w:val="005E6FCA"/>
    <w:rsid w:val="005E75FB"/>
    <w:rsid w:val="005E7832"/>
    <w:rsid w:val="005E7DB8"/>
    <w:rsid w:val="005F0603"/>
    <w:rsid w:val="005F0E65"/>
    <w:rsid w:val="005F29F1"/>
    <w:rsid w:val="005F3895"/>
    <w:rsid w:val="005F50D5"/>
    <w:rsid w:val="005F5E1D"/>
    <w:rsid w:val="005F5FBB"/>
    <w:rsid w:val="005F5FE6"/>
    <w:rsid w:val="005F7145"/>
    <w:rsid w:val="0060178E"/>
    <w:rsid w:val="00601FD7"/>
    <w:rsid w:val="006029FC"/>
    <w:rsid w:val="00602EAD"/>
    <w:rsid w:val="0060431D"/>
    <w:rsid w:val="00604455"/>
    <w:rsid w:val="00606DC4"/>
    <w:rsid w:val="006070ED"/>
    <w:rsid w:val="00607C78"/>
    <w:rsid w:val="006124E2"/>
    <w:rsid w:val="00612629"/>
    <w:rsid w:val="0061279A"/>
    <w:rsid w:val="006132C1"/>
    <w:rsid w:val="006138F7"/>
    <w:rsid w:val="00613CA4"/>
    <w:rsid w:val="00614B1F"/>
    <w:rsid w:val="0061500D"/>
    <w:rsid w:val="00615834"/>
    <w:rsid w:val="00615B61"/>
    <w:rsid w:val="00616BF7"/>
    <w:rsid w:val="00616DC3"/>
    <w:rsid w:val="00616DE9"/>
    <w:rsid w:val="0061717B"/>
    <w:rsid w:val="006171D3"/>
    <w:rsid w:val="00617C2B"/>
    <w:rsid w:val="006204BF"/>
    <w:rsid w:val="00620DC3"/>
    <w:rsid w:val="006215F4"/>
    <w:rsid w:val="006220AA"/>
    <w:rsid w:val="00622258"/>
    <w:rsid w:val="00624D77"/>
    <w:rsid w:val="00624F9F"/>
    <w:rsid w:val="00625BB9"/>
    <w:rsid w:val="00626F39"/>
    <w:rsid w:val="0063107E"/>
    <w:rsid w:val="006316BC"/>
    <w:rsid w:val="006318AC"/>
    <w:rsid w:val="006325BA"/>
    <w:rsid w:val="00632CCE"/>
    <w:rsid w:val="00633910"/>
    <w:rsid w:val="00635582"/>
    <w:rsid w:val="00635690"/>
    <w:rsid w:val="00635691"/>
    <w:rsid w:val="00635718"/>
    <w:rsid w:val="00635DA9"/>
    <w:rsid w:val="006368BA"/>
    <w:rsid w:val="006378B6"/>
    <w:rsid w:val="006402D8"/>
    <w:rsid w:val="0064279D"/>
    <w:rsid w:val="00644A56"/>
    <w:rsid w:val="00644DBD"/>
    <w:rsid w:val="0064519E"/>
    <w:rsid w:val="0064546A"/>
    <w:rsid w:val="006454C0"/>
    <w:rsid w:val="006471FD"/>
    <w:rsid w:val="00647F89"/>
    <w:rsid w:val="0065187A"/>
    <w:rsid w:val="00651D04"/>
    <w:rsid w:val="00651FDE"/>
    <w:rsid w:val="006566A5"/>
    <w:rsid w:val="006570E1"/>
    <w:rsid w:val="00657333"/>
    <w:rsid w:val="006579B5"/>
    <w:rsid w:val="006579F0"/>
    <w:rsid w:val="00657C3C"/>
    <w:rsid w:val="00657DED"/>
    <w:rsid w:val="00657EBB"/>
    <w:rsid w:val="00662087"/>
    <w:rsid w:val="00662139"/>
    <w:rsid w:val="0066233B"/>
    <w:rsid w:val="0066291E"/>
    <w:rsid w:val="00663AFF"/>
    <w:rsid w:val="00664005"/>
    <w:rsid w:val="00664F83"/>
    <w:rsid w:val="006658F3"/>
    <w:rsid w:val="00666148"/>
    <w:rsid w:val="00666F50"/>
    <w:rsid w:val="0066743A"/>
    <w:rsid w:val="00667D5A"/>
    <w:rsid w:val="00667E61"/>
    <w:rsid w:val="006706A7"/>
    <w:rsid w:val="00670A1C"/>
    <w:rsid w:val="00670DAD"/>
    <w:rsid w:val="00671557"/>
    <w:rsid w:val="0067500D"/>
    <w:rsid w:val="00676AE4"/>
    <w:rsid w:val="00680E16"/>
    <w:rsid w:val="00680F4A"/>
    <w:rsid w:val="00683728"/>
    <w:rsid w:val="006837A3"/>
    <w:rsid w:val="00685859"/>
    <w:rsid w:val="00687535"/>
    <w:rsid w:val="006877B3"/>
    <w:rsid w:val="00687F86"/>
    <w:rsid w:val="006919AD"/>
    <w:rsid w:val="00691B92"/>
    <w:rsid w:val="00691F20"/>
    <w:rsid w:val="006929E0"/>
    <w:rsid w:val="006951C4"/>
    <w:rsid w:val="0069566E"/>
    <w:rsid w:val="006961CC"/>
    <w:rsid w:val="00696237"/>
    <w:rsid w:val="0069634B"/>
    <w:rsid w:val="006973C3"/>
    <w:rsid w:val="00697C9A"/>
    <w:rsid w:val="006A0E68"/>
    <w:rsid w:val="006A174A"/>
    <w:rsid w:val="006A1DB3"/>
    <w:rsid w:val="006A46E7"/>
    <w:rsid w:val="006A4AAB"/>
    <w:rsid w:val="006A5D4C"/>
    <w:rsid w:val="006A6187"/>
    <w:rsid w:val="006A69C8"/>
    <w:rsid w:val="006A7F33"/>
    <w:rsid w:val="006B0176"/>
    <w:rsid w:val="006B14CC"/>
    <w:rsid w:val="006B1598"/>
    <w:rsid w:val="006B16BB"/>
    <w:rsid w:val="006B21C9"/>
    <w:rsid w:val="006B244F"/>
    <w:rsid w:val="006B3F07"/>
    <w:rsid w:val="006B41FB"/>
    <w:rsid w:val="006B4656"/>
    <w:rsid w:val="006B5145"/>
    <w:rsid w:val="006B649D"/>
    <w:rsid w:val="006B6B23"/>
    <w:rsid w:val="006B7E45"/>
    <w:rsid w:val="006C038B"/>
    <w:rsid w:val="006C1486"/>
    <w:rsid w:val="006C32AB"/>
    <w:rsid w:val="006C34BE"/>
    <w:rsid w:val="006C4279"/>
    <w:rsid w:val="006C43A6"/>
    <w:rsid w:val="006C68F2"/>
    <w:rsid w:val="006D0896"/>
    <w:rsid w:val="006D27FE"/>
    <w:rsid w:val="006D3374"/>
    <w:rsid w:val="006D3F6A"/>
    <w:rsid w:val="006D5DAF"/>
    <w:rsid w:val="006D7A76"/>
    <w:rsid w:val="006E08D1"/>
    <w:rsid w:val="006E112F"/>
    <w:rsid w:val="006E3562"/>
    <w:rsid w:val="006E3FE3"/>
    <w:rsid w:val="006E5878"/>
    <w:rsid w:val="006E6C1A"/>
    <w:rsid w:val="006E7D7F"/>
    <w:rsid w:val="006F05FF"/>
    <w:rsid w:val="006F06C7"/>
    <w:rsid w:val="006F0AA0"/>
    <w:rsid w:val="006F100D"/>
    <w:rsid w:val="006F14E8"/>
    <w:rsid w:val="006F20D4"/>
    <w:rsid w:val="006F30B9"/>
    <w:rsid w:val="006F3850"/>
    <w:rsid w:val="006F3F41"/>
    <w:rsid w:val="006F41BD"/>
    <w:rsid w:val="006F554C"/>
    <w:rsid w:val="006F5695"/>
    <w:rsid w:val="006F60DD"/>
    <w:rsid w:val="006F61B2"/>
    <w:rsid w:val="006F6EC0"/>
    <w:rsid w:val="006F765E"/>
    <w:rsid w:val="006F7682"/>
    <w:rsid w:val="00701A67"/>
    <w:rsid w:val="00701C61"/>
    <w:rsid w:val="007023AF"/>
    <w:rsid w:val="00702742"/>
    <w:rsid w:val="00704DD9"/>
    <w:rsid w:val="00704EFA"/>
    <w:rsid w:val="007057C7"/>
    <w:rsid w:val="0070633F"/>
    <w:rsid w:val="00706E01"/>
    <w:rsid w:val="00710DBC"/>
    <w:rsid w:val="0071119A"/>
    <w:rsid w:val="0071125E"/>
    <w:rsid w:val="00711CC0"/>
    <w:rsid w:val="00711EE7"/>
    <w:rsid w:val="00712C4B"/>
    <w:rsid w:val="007164CD"/>
    <w:rsid w:val="0071792C"/>
    <w:rsid w:val="00717DD5"/>
    <w:rsid w:val="007203F5"/>
    <w:rsid w:val="00720892"/>
    <w:rsid w:val="00723E56"/>
    <w:rsid w:val="00724983"/>
    <w:rsid w:val="00724E22"/>
    <w:rsid w:val="007254A3"/>
    <w:rsid w:val="00725AEC"/>
    <w:rsid w:val="00725CC6"/>
    <w:rsid w:val="007263AB"/>
    <w:rsid w:val="0073016F"/>
    <w:rsid w:val="007303F2"/>
    <w:rsid w:val="00730BF8"/>
    <w:rsid w:val="00733E1C"/>
    <w:rsid w:val="00733FAB"/>
    <w:rsid w:val="00734D2A"/>
    <w:rsid w:val="00735D40"/>
    <w:rsid w:val="007360EB"/>
    <w:rsid w:val="00736587"/>
    <w:rsid w:val="007365D8"/>
    <w:rsid w:val="00736B79"/>
    <w:rsid w:val="00737599"/>
    <w:rsid w:val="00737EAC"/>
    <w:rsid w:val="00742137"/>
    <w:rsid w:val="00743895"/>
    <w:rsid w:val="007457CC"/>
    <w:rsid w:val="007466EC"/>
    <w:rsid w:val="0075056B"/>
    <w:rsid w:val="0075119F"/>
    <w:rsid w:val="0075135E"/>
    <w:rsid w:val="007537D0"/>
    <w:rsid w:val="00753F1E"/>
    <w:rsid w:val="007556C3"/>
    <w:rsid w:val="007571BF"/>
    <w:rsid w:val="007604E4"/>
    <w:rsid w:val="007605CB"/>
    <w:rsid w:val="0076229B"/>
    <w:rsid w:val="00762E74"/>
    <w:rsid w:val="007638CE"/>
    <w:rsid w:val="00764EE0"/>
    <w:rsid w:val="00767C49"/>
    <w:rsid w:val="00767DE7"/>
    <w:rsid w:val="00770094"/>
    <w:rsid w:val="0077096D"/>
    <w:rsid w:val="007711FC"/>
    <w:rsid w:val="00771438"/>
    <w:rsid w:val="0077167D"/>
    <w:rsid w:val="00771F77"/>
    <w:rsid w:val="00773DEA"/>
    <w:rsid w:val="00774B38"/>
    <w:rsid w:val="00775C27"/>
    <w:rsid w:val="00776242"/>
    <w:rsid w:val="00776A6D"/>
    <w:rsid w:val="00777289"/>
    <w:rsid w:val="00777E7A"/>
    <w:rsid w:val="00780C7B"/>
    <w:rsid w:val="00780D85"/>
    <w:rsid w:val="00780E72"/>
    <w:rsid w:val="00781E69"/>
    <w:rsid w:val="0078209D"/>
    <w:rsid w:val="00782384"/>
    <w:rsid w:val="0078274C"/>
    <w:rsid w:val="007830C2"/>
    <w:rsid w:val="007833E6"/>
    <w:rsid w:val="007849B9"/>
    <w:rsid w:val="0078732F"/>
    <w:rsid w:val="00787810"/>
    <w:rsid w:val="00790E7F"/>
    <w:rsid w:val="0079112A"/>
    <w:rsid w:val="00793548"/>
    <w:rsid w:val="00794ED2"/>
    <w:rsid w:val="00795D86"/>
    <w:rsid w:val="00795EB5"/>
    <w:rsid w:val="00797575"/>
    <w:rsid w:val="007A0963"/>
    <w:rsid w:val="007A2A81"/>
    <w:rsid w:val="007A3DA2"/>
    <w:rsid w:val="007A5BCF"/>
    <w:rsid w:val="007A60BE"/>
    <w:rsid w:val="007A6291"/>
    <w:rsid w:val="007A7B26"/>
    <w:rsid w:val="007B0DD3"/>
    <w:rsid w:val="007B14EC"/>
    <w:rsid w:val="007B27C0"/>
    <w:rsid w:val="007B54A4"/>
    <w:rsid w:val="007B5988"/>
    <w:rsid w:val="007B6A3D"/>
    <w:rsid w:val="007B6A85"/>
    <w:rsid w:val="007B747A"/>
    <w:rsid w:val="007C194D"/>
    <w:rsid w:val="007C29AB"/>
    <w:rsid w:val="007C32DD"/>
    <w:rsid w:val="007C3CF3"/>
    <w:rsid w:val="007C6B1B"/>
    <w:rsid w:val="007C7F04"/>
    <w:rsid w:val="007D0976"/>
    <w:rsid w:val="007D0994"/>
    <w:rsid w:val="007D0D8D"/>
    <w:rsid w:val="007D2F9D"/>
    <w:rsid w:val="007D537B"/>
    <w:rsid w:val="007D5711"/>
    <w:rsid w:val="007D72E3"/>
    <w:rsid w:val="007E0212"/>
    <w:rsid w:val="007E0CC7"/>
    <w:rsid w:val="007E13AC"/>
    <w:rsid w:val="007E1AEF"/>
    <w:rsid w:val="007E1BA1"/>
    <w:rsid w:val="007E1F76"/>
    <w:rsid w:val="007E23D5"/>
    <w:rsid w:val="007E289D"/>
    <w:rsid w:val="007E29E8"/>
    <w:rsid w:val="007E37A5"/>
    <w:rsid w:val="007E3FCD"/>
    <w:rsid w:val="007E4C3C"/>
    <w:rsid w:val="007E4D25"/>
    <w:rsid w:val="007E4F38"/>
    <w:rsid w:val="007E51F5"/>
    <w:rsid w:val="007E576C"/>
    <w:rsid w:val="007E685A"/>
    <w:rsid w:val="007E7967"/>
    <w:rsid w:val="007F08AF"/>
    <w:rsid w:val="007F0FA1"/>
    <w:rsid w:val="007F14FA"/>
    <w:rsid w:val="007F2EE9"/>
    <w:rsid w:val="007F30ED"/>
    <w:rsid w:val="007F45C6"/>
    <w:rsid w:val="007F480E"/>
    <w:rsid w:val="007F572A"/>
    <w:rsid w:val="007F619A"/>
    <w:rsid w:val="007F66A0"/>
    <w:rsid w:val="007F74BD"/>
    <w:rsid w:val="008000E7"/>
    <w:rsid w:val="008007A6"/>
    <w:rsid w:val="00802FE3"/>
    <w:rsid w:val="00805031"/>
    <w:rsid w:val="008050DE"/>
    <w:rsid w:val="00805385"/>
    <w:rsid w:val="00805A26"/>
    <w:rsid w:val="00807DE0"/>
    <w:rsid w:val="0081036B"/>
    <w:rsid w:val="00812984"/>
    <w:rsid w:val="00815BA3"/>
    <w:rsid w:val="00815FCF"/>
    <w:rsid w:val="00816453"/>
    <w:rsid w:val="00816BFC"/>
    <w:rsid w:val="00821817"/>
    <w:rsid w:val="00823E89"/>
    <w:rsid w:val="00823F36"/>
    <w:rsid w:val="00825CE1"/>
    <w:rsid w:val="008266FC"/>
    <w:rsid w:val="00827262"/>
    <w:rsid w:val="00830728"/>
    <w:rsid w:val="0083133A"/>
    <w:rsid w:val="008315B8"/>
    <w:rsid w:val="00832A1A"/>
    <w:rsid w:val="008342E7"/>
    <w:rsid w:val="008356B5"/>
    <w:rsid w:val="00836340"/>
    <w:rsid w:val="0083698B"/>
    <w:rsid w:val="00837EF8"/>
    <w:rsid w:val="0084077D"/>
    <w:rsid w:val="008408C8"/>
    <w:rsid w:val="00840EBE"/>
    <w:rsid w:val="0084377E"/>
    <w:rsid w:val="008443BE"/>
    <w:rsid w:val="00847BDB"/>
    <w:rsid w:val="00847E87"/>
    <w:rsid w:val="00850758"/>
    <w:rsid w:val="00851D52"/>
    <w:rsid w:val="008521EB"/>
    <w:rsid w:val="00852439"/>
    <w:rsid w:val="0085291C"/>
    <w:rsid w:val="00852D55"/>
    <w:rsid w:val="00852F4D"/>
    <w:rsid w:val="00853123"/>
    <w:rsid w:val="00853191"/>
    <w:rsid w:val="00853B85"/>
    <w:rsid w:val="008544B0"/>
    <w:rsid w:val="008546AE"/>
    <w:rsid w:val="00854735"/>
    <w:rsid w:val="00856013"/>
    <w:rsid w:val="00856F4B"/>
    <w:rsid w:val="00860773"/>
    <w:rsid w:val="00861804"/>
    <w:rsid w:val="00862EEB"/>
    <w:rsid w:val="008639DF"/>
    <w:rsid w:val="008650BF"/>
    <w:rsid w:val="00865F61"/>
    <w:rsid w:val="00866487"/>
    <w:rsid w:val="0086713F"/>
    <w:rsid w:val="008672BC"/>
    <w:rsid w:val="00867AE7"/>
    <w:rsid w:val="00867C7D"/>
    <w:rsid w:val="008714F9"/>
    <w:rsid w:val="00872FB0"/>
    <w:rsid w:val="0087462E"/>
    <w:rsid w:val="00875EFC"/>
    <w:rsid w:val="008760A6"/>
    <w:rsid w:val="00877744"/>
    <w:rsid w:val="008777EA"/>
    <w:rsid w:val="008779E4"/>
    <w:rsid w:val="0088016E"/>
    <w:rsid w:val="0088020A"/>
    <w:rsid w:val="008813F8"/>
    <w:rsid w:val="0088194E"/>
    <w:rsid w:val="00881C43"/>
    <w:rsid w:val="00882FC1"/>
    <w:rsid w:val="00883F68"/>
    <w:rsid w:val="00884513"/>
    <w:rsid w:val="00884550"/>
    <w:rsid w:val="008846AC"/>
    <w:rsid w:val="00885B67"/>
    <w:rsid w:val="00886803"/>
    <w:rsid w:val="0088729F"/>
    <w:rsid w:val="00887ABB"/>
    <w:rsid w:val="00890B11"/>
    <w:rsid w:val="0089104E"/>
    <w:rsid w:val="008933B3"/>
    <w:rsid w:val="0089367D"/>
    <w:rsid w:val="008961D8"/>
    <w:rsid w:val="00896A08"/>
    <w:rsid w:val="00896E85"/>
    <w:rsid w:val="00897F22"/>
    <w:rsid w:val="008A039E"/>
    <w:rsid w:val="008A0C67"/>
    <w:rsid w:val="008A1501"/>
    <w:rsid w:val="008A1D95"/>
    <w:rsid w:val="008A2A10"/>
    <w:rsid w:val="008A4417"/>
    <w:rsid w:val="008A460A"/>
    <w:rsid w:val="008A4ADF"/>
    <w:rsid w:val="008A774A"/>
    <w:rsid w:val="008B01C8"/>
    <w:rsid w:val="008B11AE"/>
    <w:rsid w:val="008B151D"/>
    <w:rsid w:val="008B26BC"/>
    <w:rsid w:val="008B4F51"/>
    <w:rsid w:val="008B5615"/>
    <w:rsid w:val="008B59A1"/>
    <w:rsid w:val="008B5E9D"/>
    <w:rsid w:val="008B73B7"/>
    <w:rsid w:val="008C031B"/>
    <w:rsid w:val="008C102D"/>
    <w:rsid w:val="008C1D0D"/>
    <w:rsid w:val="008C1EEB"/>
    <w:rsid w:val="008C272D"/>
    <w:rsid w:val="008C2A36"/>
    <w:rsid w:val="008C6D22"/>
    <w:rsid w:val="008C7BA9"/>
    <w:rsid w:val="008D041F"/>
    <w:rsid w:val="008D0D46"/>
    <w:rsid w:val="008D1B1B"/>
    <w:rsid w:val="008D211A"/>
    <w:rsid w:val="008D439C"/>
    <w:rsid w:val="008D461B"/>
    <w:rsid w:val="008D4C0A"/>
    <w:rsid w:val="008D6751"/>
    <w:rsid w:val="008E0E6B"/>
    <w:rsid w:val="008E1680"/>
    <w:rsid w:val="008E24C1"/>
    <w:rsid w:val="008E470B"/>
    <w:rsid w:val="008E4EF5"/>
    <w:rsid w:val="008E58CA"/>
    <w:rsid w:val="008E64D4"/>
    <w:rsid w:val="008E6557"/>
    <w:rsid w:val="008E6695"/>
    <w:rsid w:val="008E6CC0"/>
    <w:rsid w:val="008E7A05"/>
    <w:rsid w:val="008F17BB"/>
    <w:rsid w:val="008F1DA3"/>
    <w:rsid w:val="008F2303"/>
    <w:rsid w:val="008F243C"/>
    <w:rsid w:val="008F33AA"/>
    <w:rsid w:val="008F4308"/>
    <w:rsid w:val="008F5A20"/>
    <w:rsid w:val="008F6E76"/>
    <w:rsid w:val="008F6EB2"/>
    <w:rsid w:val="008F6F68"/>
    <w:rsid w:val="008F7EEB"/>
    <w:rsid w:val="0090060C"/>
    <w:rsid w:val="009014F5"/>
    <w:rsid w:val="00901863"/>
    <w:rsid w:val="009024A3"/>
    <w:rsid w:val="00902D33"/>
    <w:rsid w:val="00904953"/>
    <w:rsid w:val="00905C11"/>
    <w:rsid w:val="00906556"/>
    <w:rsid w:val="00906A9D"/>
    <w:rsid w:val="00907CB8"/>
    <w:rsid w:val="0091382B"/>
    <w:rsid w:val="00914253"/>
    <w:rsid w:val="009147A1"/>
    <w:rsid w:val="00914AA7"/>
    <w:rsid w:val="00914E22"/>
    <w:rsid w:val="0091563C"/>
    <w:rsid w:val="00915EEB"/>
    <w:rsid w:val="00915F11"/>
    <w:rsid w:val="0091608E"/>
    <w:rsid w:val="0091613D"/>
    <w:rsid w:val="009162D8"/>
    <w:rsid w:val="00916922"/>
    <w:rsid w:val="00920A9A"/>
    <w:rsid w:val="00920FDB"/>
    <w:rsid w:val="00922144"/>
    <w:rsid w:val="00922B55"/>
    <w:rsid w:val="00923346"/>
    <w:rsid w:val="0092395D"/>
    <w:rsid w:val="00923A4A"/>
    <w:rsid w:val="00923FA2"/>
    <w:rsid w:val="009246E9"/>
    <w:rsid w:val="00925729"/>
    <w:rsid w:val="00925AFB"/>
    <w:rsid w:val="00925B67"/>
    <w:rsid w:val="00926845"/>
    <w:rsid w:val="00926F31"/>
    <w:rsid w:val="00930B10"/>
    <w:rsid w:val="0093131A"/>
    <w:rsid w:val="00932CB4"/>
    <w:rsid w:val="009333F4"/>
    <w:rsid w:val="00934323"/>
    <w:rsid w:val="00936386"/>
    <w:rsid w:val="0094190E"/>
    <w:rsid w:val="00942CF7"/>
    <w:rsid w:val="00943604"/>
    <w:rsid w:val="00944394"/>
    <w:rsid w:val="009446E5"/>
    <w:rsid w:val="00944A0D"/>
    <w:rsid w:val="00944BE7"/>
    <w:rsid w:val="009459B6"/>
    <w:rsid w:val="00947079"/>
    <w:rsid w:val="00947CD3"/>
    <w:rsid w:val="00950109"/>
    <w:rsid w:val="009501DE"/>
    <w:rsid w:val="009503C2"/>
    <w:rsid w:val="00951203"/>
    <w:rsid w:val="009539C0"/>
    <w:rsid w:val="0095439D"/>
    <w:rsid w:val="009549AF"/>
    <w:rsid w:val="009549FA"/>
    <w:rsid w:val="009566B4"/>
    <w:rsid w:val="00956986"/>
    <w:rsid w:val="009575C1"/>
    <w:rsid w:val="00960188"/>
    <w:rsid w:val="00960345"/>
    <w:rsid w:val="009607B2"/>
    <w:rsid w:val="009634B1"/>
    <w:rsid w:val="00963592"/>
    <w:rsid w:val="00965B04"/>
    <w:rsid w:val="00966F15"/>
    <w:rsid w:val="00970269"/>
    <w:rsid w:val="00971EB1"/>
    <w:rsid w:val="0097243F"/>
    <w:rsid w:val="009724BF"/>
    <w:rsid w:val="00972C8A"/>
    <w:rsid w:val="00973C22"/>
    <w:rsid w:val="00975DE4"/>
    <w:rsid w:val="00977924"/>
    <w:rsid w:val="0098132B"/>
    <w:rsid w:val="009816F8"/>
    <w:rsid w:val="00981848"/>
    <w:rsid w:val="009818E0"/>
    <w:rsid w:val="009824F6"/>
    <w:rsid w:val="0098282A"/>
    <w:rsid w:val="00983F10"/>
    <w:rsid w:val="00984F86"/>
    <w:rsid w:val="0098531C"/>
    <w:rsid w:val="00987079"/>
    <w:rsid w:val="009870F8"/>
    <w:rsid w:val="00987B37"/>
    <w:rsid w:val="00991AF0"/>
    <w:rsid w:val="009934B3"/>
    <w:rsid w:val="00994558"/>
    <w:rsid w:val="009964D3"/>
    <w:rsid w:val="009A187D"/>
    <w:rsid w:val="009A29B0"/>
    <w:rsid w:val="009A2ADF"/>
    <w:rsid w:val="009A33B7"/>
    <w:rsid w:val="009A37C8"/>
    <w:rsid w:val="009A7FFB"/>
    <w:rsid w:val="009B1FF6"/>
    <w:rsid w:val="009B21CE"/>
    <w:rsid w:val="009B2DD8"/>
    <w:rsid w:val="009B372C"/>
    <w:rsid w:val="009B3A73"/>
    <w:rsid w:val="009B3D70"/>
    <w:rsid w:val="009B41C6"/>
    <w:rsid w:val="009B5172"/>
    <w:rsid w:val="009B5A81"/>
    <w:rsid w:val="009B60D3"/>
    <w:rsid w:val="009B6732"/>
    <w:rsid w:val="009B7104"/>
    <w:rsid w:val="009B7470"/>
    <w:rsid w:val="009B7F60"/>
    <w:rsid w:val="009C0015"/>
    <w:rsid w:val="009C0A8F"/>
    <w:rsid w:val="009C10E7"/>
    <w:rsid w:val="009C11A9"/>
    <w:rsid w:val="009C1871"/>
    <w:rsid w:val="009C1B37"/>
    <w:rsid w:val="009C2866"/>
    <w:rsid w:val="009C2F8C"/>
    <w:rsid w:val="009C33C3"/>
    <w:rsid w:val="009C3D25"/>
    <w:rsid w:val="009C47D5"/>
    <w:rsid w:val="009C4B85"/>
    <w:rsid w:val="009C4ECC"/>
    <w:rsid w:val="009C539B"/>
    <w:rsid w:val="009C547F"/>
    <w:rsid w:val="009C5823"/>
    <w:rsid w:val="009C78FA"/>
    <w:rsid w:val="009D0BFA"/>
    <w:rsid w:val="009D1232"/>
    <w:rsid w:val="009D1C59"/>
    <w:rsid w:val="009D1E10"/>
    <w:rsid w:val="009D2362"/>
    <w:rsid w:val="009D25EF"/>
    <w:rsid w:val="009D32DA"/>
    <w:rsid w:val="009D391A"/>
    <w:rsid w:val="009D43D2"/>
    <w:rsid w:val="009D4731"/>
    <w:rsid w:val="009D4F88"/>
    <w:rsid w:val="009D5C30"/>
    <w:rsid w:val="009D5F36"/>
    <w:rsid w:val="009E14F6"/>
    <w:rsid w:val="009E2FB0"/>
    <w:rsid w:val="009E3DD6"/>
    <w:rsid w:val="009E479C"/>
    <w:rsid w:val="009E570F"/>
    <w:rsid w:val="009E5962"/>
    <w:rsid w:val="009E5DD4"/>
    <w:rsid w:val="009E6965"/>
    <w:rsid w:val="009E6BD5"/>
    <w:rsid w:val="009E73BF"/>
    <w:rsid w:val="009F0F64"/>
    <w:rsid w:val="009F178F"/>
    <w:rsid w:val="009F1DE2"/>
    <w:rsid w:val="009F20FC"/>
    <w:rsid w:val="009F21CC"/>
    <w:rsid w:val="009F2973"/>
    <w:rsid w:val="009F368A"/>
    <w:rsid w:val="009F4166"/>
    <w:rsid w:val="009F4C9E"/>
    <w:rsid w:val="009F58AA"/>
    <w:rsid w:val="009F5CD2"/>
    <w:rsid w:val="009F5E71"/>
    <w:rsid w:val="009F7F90"/>
    <w:rsid w:val="00A0276F"/>
    <w:rsid w:val="00A03550"/>
    <w:rsid w:val="00A03BE2"/>
    <w:rsid w:val="00A047C1"/>
    <w:rsid w:val="00A0497A"/>
    <w:rsid w:val="00A049CA"/>
    <w:rsid w:val="00A04B95"/>
    <w:rsid w:val="00A069B8"/>
    <w:rsid w:val="00A07524"/>
    <w:rsid w:val="00A075F1"/>
    <w:rsid w:val="00A11FD8"/>
    <w:rsid w:val="00A13EA5"/>
    <w:rsid w:val="00A14011"/>
    <w:rsid w:val="00A14E27"/>
    <w:rsid w:val="00A14F53"/>
    <w:rsid w:val="00A15129"/>
    <w:rsid w:val="00A1554D"/>
    <w:rsid w:val="00A15EFC"/>
    <w:rsid w:val="00A16333"/>
    <w:rsid w:val="00A1785F"/>
    <w:rsid w:val="00A17993"/>
    <w:rsid w:val="00A17D78"/>
    <w:rsid w:val="00A2070B"/>
    <w:rsid w:val="00A21B5A"/>
    <w:rsid w:val="00A21C48"/>
    <w:rsid w:val="00A21D4A"/>
    <w:rsid w:val="00A21FF4"/>
    <w:rsid w:val="00A22036"/>
    <w:rsid w:val="00A2218D"/>
    <w:rsid w:val="00A23842"/>
    <w:rsid w:val="00A251ED"/>
    <w:rsid w:val="00A254F3"/>
    <w:rsid w:val="00A25680"/>
    <w:rsid w:val="00A300F8"/>
    <w:rsid w:val="00A30334"/>
    <w:rsid w:val="00A30BAA"/>
    <w:rsid w:val="00A32B92"/>
    <w:rsid w:val="00A3392E"/>
    <w:rsid w:val="00A364BB"/>
    <w:rsid w:val="00A37DD9"/>
    <w:rsid w:val="00A40270"/>
    <w:rsid w:val="00A404D0"/>
    <w:rsid w:val="00A40D49"/>
    <w:rsid w:val="00A4180A"/>
    <w:rsid w:val="00A4249A"/>
    <w:rsid w:val="00A44E4E"/>
    <w:rsid w:val="00A45418"/>
    <w:rsid w:val="00A51274"/>
    <w:rsid w:val="00A51606"/>
    <w:rsid w:val="00A53C30"/>
    <w:rsid w:val="00A555D2"/>
    <w:rsid w:val="00A55FC4"/>
    <w:rsid w:val="00A567A8"/>
    <w:rsid w:val="00A570A8"/>
    <w:rsid w:val="00A6003F"/>
    <w:rsid w:val="00A61FBD"/>
    <w:rsid w:val="00A620C8"/>
    <w:rsid w:val="00A621DE"/>
    <w:rsid w:val="00A62EEA"/>
    <w:rsid w:val="00A62F9A"/>
    <w:rsid w:val="00A6378F"/>
    <w:rsid w:val="00A63BB5"/>
    <w:rsid w:val="00A63CB4"/>
    <w:rsid w:val="00A64016"/>
    <w:rsid w:val="00A646D0"/>
    <w:rsid w:val="00A64E67"/>
    <w:rsid w:val="00A6543E"/>
    <w:rsid w:val="00A65CE7"/>
    <w:rsid w:val="00A66B06"/>
    <w:rsid w:val="00A702FA"/>
    <w:rsid w:val="00A70F2D"/>
    <w:rsid w:val="00A71104"/>
    <w:rsid w:val="00A71B77"/>
    <w:rsid w:val="00A71FD3"/>
    <w:rsid w:val="00A730A8"/>
    <w:rsid w:val="00A73D60"/>
    <w:rsid w:val="00A74A46"/>
    <w:rsid w:val="00A752FA"/>
    <w:rsid w:val="00A75D18"/>
    <w:rsid w:val="00A76CC7"/>
    <w:rsid w:val="00A76F4F"/>
    <w:rsid w:val="00A7747E"/>
    <w:rsid w:val="00A778B3"/>
    <w:rsid w:val="00A77C8E"/>
    <w:rsid w:val="00A77F72"/>
    <w:rsid w:val="00A809D0"/>
    <w:rsid w:val="00A80D68"/>
    <w:rsid w:val="00A823DC"/>
    <w:rsid w:val="00A84F0D"/>
    <w:rsid w:val="00A8659B"/>
    <w:rsid w:val="00A869F2"/>
    <w:rsid w:val="00A90375"/>
    <w:rsid w:val="00A91F7C"/>
    <w:rsid w:val="00A9278C"/>
    <w:rsid w:val="00A92D67"/>
    <w:rsid w:val="00A9393F"/>
    <w:rsid w:val="00A93C17"/>
    <w:rsid w:val="00A94953"/>
    <w:rsid w:val="00A957D7"/>
    <w:rsid w:val="00A95981"/>
    <w:rsid w:val="00A95A34"/>
    <w:rsid w:val="00A96863"/>
    <w:rsid w:val="00A96B5F"/>
    <w:rsid w:val="00A97655"/>
    <w:rsid w:val="00A97EDF"/>
    <w:rsid w:val="00AA20C1"/>
    <w:rsid w:val="00AA332F"/>
    <w:rsid w:val="00AA4228"/>
    <w:rsid w:val="00AA4B18"/>
    <w:rsid w:val="00AA6EE1"/>
    <w:rsid w:val="00AA789B"/>
    <w:rsid w:val="00AB0A7F"/>
    <w:rsid w:val="00AB0B22"/>
    <w:rsid w:val="00AB15D8"/>
    <w:rsid w:val="00AB37E3"/>
    <w:rsid w:val="00AB5BA7"/>
    <w:rsid w:val="00AB5CD0"/>
    <w:rsid w:val="00AB7B02"/>
    <w:rsid w:val="00AC121F"/>
    <w:rsid w:val="00AC1244"/>
    <w:rsid w:val="00AC1F11"/>
    <w:rsid w:val="00AC231D"/>
    <w:rsid w:val="00AC2E42"/>
    <w:rsid w:val="00AC3441"/>
    <w:rsid w:val="00AC3F7E"/>
    <w:rsid w:val="00AC6941"/>
    <w:rsid w:val="00AD0D84"/>
    <w:rsid w:val="00AD11B8"/>
    <w:rsid w:val="00AD22DB"/>
    <w:rsid w:val="00AD2F53"/>
    <w:rsid w:val="00AD31F8"/>
    <w:rsid w:val="00AD40A5"/>
    <w:rsid w:val="00AD47E3"/>
    <w:rsid w:val="00AD4905"/>
    <w:rsid w:val="00AD509B"/>
    <w:rsid w:val="00AD5BCC"/>
    <w:rsid w:val="00AD6992"/>
    <w:rsid w:val="00AE122E"/>
    <w:rsid w:val="00AE1F34"/>
    <w:rsid w:val="00AE2A84"/>
    <w:rsid w:val="00AE32AF"/>
    <w:rsid w:val="00AE33FD"/>
    <w:rsid w:val="00AE3FDA"/>
    <w:rsid w:val="00AE49D0"/>
    <w:rsid w:val="00AE4C3E"/>
    <w:rsid w:val="00AE55A9"/>
    <w:rsid w:val="00AE5CB9"/>
    <w:rsid w:val="00AE6301"/>
    <w:rsid w:val="00AE6393"/>
    <w:rsid w:val="00AE63FD"/>
    <w:rsid w:val="00AE65A6"/>
    <w:rsid w:val="00AE6DFA"/>
    <w:rsid w:val="00AE7291"/>
    <w:rsid w:val="00AE7936"/>
    <w:rsid w:val="00AF01D3"/>
    <w:rsid w:val="00AF1103"/>
    <w:rsid w:val="00AF1D09"/>
    <w:rsid w:val="00AF2B8E"/>
    <w:rsid w:val="00AF4756"/>
    <w:rsid w:val="00AF5678"/>
    <w:rsid w:val="00AF57D3"/>
    <w:rsid w:val="00AF606D"/>
    <w:rsid w:val="00AF684F"/>
    <w:rsid w:val="00AF6AA6"/>
    <w:rsid w:val="00AF6FF8"/>
    <w:rsid w:val="00AF7392"/>
    <w:rsid w:val="00B004E3"/>
    <w:rsid w:val="00B0192D"/>
    <w:rsid w:val="00B02805"/>
    <w:rsid w:val="00B033BC"/>
    <w:rsid w:val="00B0359D"/>
    <w:rsid w:val="00B03AF9"/>
    <w:rsid w:val="00B059E7"/>
    <w:rsid w:val="00B05B5B"/>
    <w:rsid w:val="00B05C1F"/>
    <w:rsid w:val="00B0625B"/>
    <w:rsid w:val="00B07D25"/>
    <w:rsid w:val="00B1047D"/>
    <w:rsid w:val="00B128DB"/>
    <w:rsid w:val="00B12E20"/>
    <w:rsid w:val="00B130CF"/>
    <w:rsid w:val="00B14027"/>
    <w:rsid w:val="00B14560"/>
    <w:rsid w:val="00B14A1C"/>
    <w:rsid w:val="00B15291"/>
    <w:rsid w:val="00B1591C"/>
    <w:rsid w:val="00B15AD0"/>
    <w:rsid w:val="00B15F5A"/>
    <w:rsid w:val="00B20CED"/>
    <w:rsid w:val="00B20D46"/>
    <w:rsid w:val="00B213A3"/>
    <w:rsid w:val="00B21D9B"/>
    <w:rsid w:val="00B22B0B"/>
    <w:rsid w:val="00B24735"/>
    <w:rsid w:val="00B24CAF"/>
    <w:rsid w:val="00B253B3"/>
    <w:rsid w:val="00B2633C"/>
    <w:rsid w:val="00B2642B"/>
    <w:rsid w:val="00B26FAA"/>
    <w:rsid w:val="00B30663"/>
    <w:rsid w:val="00B30EB3"/>
    <w:rsid w:val="00B31467"/>
    <w:rsid w:val="00B34227"/>
    <w:rsid w:val="00B34B35"/>
    <w:rsid w:val="00B35C96"/>
    <w:rsid w:val="00B3624B"/>
    <w:rsid w:val="00B373CA"/>
    <w:rsid w:val="00B37866"/>
    <w:rsid w:val="00B422F3"/>
    <w:rsid w:val="00B448C5"/>
    <w:rsid w:val="00B44B25"/>
    <w:rsid w:val="00B45C4C"/>
    <w:rsid w:val="00B467CA"/>
    <w:rsid w:val="00B468B7"/>
    <w:rsid w:val="00B47CBD"/>
    <w:rsid w:val="00B50D39"/>
    <w:rsid w:val="00B50D6A"/>
    <w:rsid w:val="00B51516"/>
    <w:rsid w:val="00B51C04"/>
    <w:rsid w:val="00B51CF7"/>
    <w:rsid w:val="00B52EB2"/>
    <w:rsid w:val="00B53192"/>
    <w:rsid w:val="00B53C9C"/>
    <w:rsid w:val="00B549E0"/>
    <w:rsid w:val="00B54D5F"/>
    <w:rsid w:val="00B54EB5"/>
    <w:rsid w:val="00B554CF"/>
    <w:rsid w:val="00B55C86"/>
    <w:rsid w:val="00B560A0"/>
    <w:rsid w:val="00B57D78"/>
    <w:rsid w:val="00B60477"/>
    <w:rsid w:val="00B607A8"/>
    <w:rsid w:val="00B61709"/>
    <w:rsid w:val="00B621AF"/>
    <w:rsid w:val="00B63872"/>
    <w:rsid w:val="00B65710"/>
    <w:rsid w:val="00B6722F"/>
    <w:rsid w:val="00B67F3B"/>
    <w:rsid w:val="00B7016F"/>
    <w:rsid w:val="00B70781"/>
    <w:rsid w:val="00B70E3D"/>
    <w:rsid w:val="00B71741"/>
    <w:rsid w:val="00B7186B"/>
    <w:rsid w:val="00B718FD"/>
    <w:rsid w:val="00B725C2"/>
    <w:rsid w:val="00B74308"/>
    <w:rsid w:val="00B7489F"/>
    <w:rsid w:val="00B76123"/>
    <w:rsid w:val="00B763B4"/>
    <w:rsid w:val="00B773F4"/>
    <w:rsid w:val="00B81203"/>
    <w:rsid w:val="00B813CF"/>
    <w:rsid w:val="00B8567F"/>
    <w:rsid w:val="00B86E68"/>
    <w:rsid w:val="00B90121"/>
    <w:rsid w:val="00B904F8"/>
    <w:rsid w:val="00B90F5A"/>
    <w:rsid w:val="00B9148B"/>
    <w:rsid w:val="00B92166"/>
    <w:rsid w:val="00B921B9"/>
    <w:rsid w:val="00B92352"/>
    <w:rsid w:val="00B92472"/>
    <w:rsid w:val="00B92DE4"/>
    <w:rsid w:val="00B930E5"/>
    <w:rsid w:val="00B931A0"/>
    <w:rsid w:val="00B9322C"/>
    <w:rsid w:val="00B94366"/>
    <w:rsid w:val="00B953B6"/>
    <w:rsid w:val="00B9653D"/>
    <w:rsid w:val="00B96683"/>
    <w:rsid w:val="00B97666"/>
    <w:rsid w:val="00B97915"/>
    <w:rsid w:val="00BA0DAF"/>
    <w:rsid w:val="00BA1156"/>
    <w:rsid w:val="00BA135F"/>
    <w:rsid w:val="00BA295F"/>
    <w:rsid w:val="00BA50B4"/>
    <w:rsid w:val="00BA73EB"/>
    <w:rsid w:val="00BB0824"/>
    <w:rsid w:val="00BB1188"/>
    <w:rsid w:val="00BB351D"/>
    <w:rsid w:val="00BB49A3"/>
    <w:rsid w:val="00BB5C45"/>
    <w:rsid w:val="00BB6E6B"/>
    <w:rsid w:val="00BB72F7"/>
    <w:rsid w:val="00BB767D"/>
    <w:rsid w:val="00BB7CAE"/>
    <w:rsid w:val="00BC0F5A"/>
    <w:rsid w:val="00BC152D"/>
    <w:rsid w:val="00BC1A38"/>
    <w:rsid w:val="00BC2FB6"/>
    <w:rsid w:val="00BC37B7"/>
    <w:rsid w:val="00BC3D81"/>
    <w:rsid w:val="00BC56AE"/>
    <w:rsid w:val="00BC5B78"/>
    <w:rsid w:val="00BC604E"/>
    <w:rsid w:val="00BC7708"/>
    <w:rsid w:val="00BC7BA1"/>
    <w:rsid w:val="00BC7E66"/>
    <w:rsid w:val="00BD0896"/>
    <w:rsid w:val="00BD0C06"/>
    <w:rsid w:val="00BD1FC8"/>
    <w:rsid w:val="00BD21BB"/>
    <w:rsid w:val="00BD35DB"/>
    <w:rsid w:val="00BD3A0E"/>
    <w:rsid w:val="00BD49F3"/>
    <w:rsid w:val="00BD4EB3"/>
    <w:rsid w:val="00BD507C"/>
    <w:rsid w:val="00BD6535"/>
    <w:rsid w:val="00BD657A"/>
    <w:rsid w:val="00BD6824"/>
    <w:rsid w:val="00BD68F8"/>
    <w:rsid w:val="00BD6BAD"/>
    <w:rsid w:val="00BD72DA"/>
    <w:rsid w:val="00BD733B"/>
    <w:rsid w:val="00BD77E6"/>
    <w:rsid w:val="00BE10C2"/>
    <w:rsid w:val="00BE1622"/>
    <w:rsid w:val="00BE1802"/>
    <w:rsid w:val="00BE1A4E"/>
    <w:rsid w:val="00BE21C5"/>
    <w:rsid w:val="00BE2BDB"/>
    <w:rsid w:val="00BE3349"/>
    <w:rsid w:val="00BE452C"/>
    <w:rsid w:val="00BE46E9"/>
    <w:rsid w:val="00BE622B"/>
    <w:rsid w:val="00BE7F75"/>
    <w:rsid w:val="00BE7F9D"/>
    <w:rsid w:val="00BF0148"/>
    <w:rsid w:val="00BF0A34"/>
    <w:rsid w:val="00BF3C60"/>
    <w:rsid w:val="00BF5DB0"/>
    <w:rsid w:val="00BF5ED7"/>
    <w:rsid w:val="00BF6067"/>
    <w:rsid w:val="00C0255B"/>
    <w:rsid w:val="00C034BA"/>
    <w:rsid w:val="00C035BE"/>
    <w:rsid w:val="00C05392"/>
    <w:rsid w:val="00C057E2"/>
    <w:rsid w:val="00C0673F"/>
    <w:rsid w:val="00C06E30"/>
    <w:rsid w:val="00C073DB"/>
    <w:rsid w:val="00C1035F"/>
    <w:rsid w:val="00C11C58"/>
    <w:rsid w:val="00C11D8C"/>
    <w:rsid w:val="00C13ADC"/>
    <w:rsid w:val="00C13BDD"/>
    <w:rsid w:val="00C1477C"/>
    <w:rsid w:val="00C15089"/>
    <w:rsid w:val="00C1508C"/>
    <w:rsid w:val="00C167B9"/>
    <w:rsid w:val="00C16B59"/>
    <w:rsid w:val="00C17CB9"/>
    <w:rsid w:val="00C17F14"/>
    <w:rsid w:val="00C21C2E"/>
    <w:rsid w:val="00C22298"/>
    <w:rsid w:val="00C22331"/>
    <w:rsid w:val="00C225C3"/>
    <w:rsid w:val="00C22605"/>
    <w:rsid w:val="00C226D1"/>
    <w:rsid w:val="00C2279B"/>
    <w:rsid w:val="00C2307A"/>
    <w:rsid w:val="00C25328"/>
    <w:rsid w:val="00C26165"/>
    <w:rsid w:val="00C26978"/>
    <w:rsid w:val="00C26FF4"/>
    <w:rsid w:val="00C27376"/>
    <w:rsid w:val="00C30821"/>
    <w:rsid w:val="00C32925"/>
    <w:rsid w:val="00C33DF2"/>
    <w:rsid w:val="00C34C1F"/>
    <w:rsid w:val="00C34C89"/>
    <w:rsid w:val="00C364C0"/>
    <w:rsid w:val="00C36D74"/>
    <w:rsid w:val="00C36FB2"/>
    <w:rsid w:val="00C40582"/>
    <w:rsid w:val="00C4120D"/>
    <w:rsid w:val="00C42E39"/>
    <w:rsid w:val="00C444CA"/>
    <w:rsid w:val="00C45179"/>
    <w:rsid w:val="00C46C7A"/>
    <w:rsid w:val="00C47D9B"/>
    <w:rsid w:val="00C51101"/>
    <w:rsid w:val="00C51A1F"/>
    <w:rsid w:val="00C51D38"/>
    <w:rsid w:val="00C51E65"/>
    <w:rsid w:val="00C52F53"/>
    <w:rsid w:val="00C53237"/>
    <w:rsid w:val="00C53389"/>
    <w:rsid w:val="00C53400"/>
    <w:rsid w:val="00C53A3B"/>
    <w:rsid w:val="00C55661"/>
    <w:rsid w:val="00C557D2"/>
    <w:rsid w:val="00C55F5E"/>
    <w:rsid w:val="00C56D56"/>
    <w:rsid w:val="00C56DFB"/>
    <w:rsid w:val="00C6156F"/>
    <w:rsid w:val="00C61754"/>
    <w:rsid w:val="00C6196A"/>
    <w:rsid w:val="00C61EC4"/>
    <w:rsid w:val="00C621EF"/>
    <w:rsid w:val="00C6268C"/>
    <w:rsid w:val="00C628CC"/>
    <w:rsid w:val="00C63958"/>
    <w:rsid w:val="00C64179"/>
    <w:rsid w:val="00C65224"/>
    <w:rsid w:val="00C65DE0"/>
    <w:rsid w:val="00C65E82"/>
    <w:rsid w:val="00C70161"/>
    <w:rsid w:val="00C711D4"/>
    <w:rsid w:val="00C72C1B"/>
    <w:rsid w:val="00C72FC8"/>
    <w:rsid w:val="00C73051"/>
    <w:rsid w:val="00C76630"/>
    <w:rsid w:val="00C7668C"/>
    <w:rsid w:val="00C76A7B"/>
    <w:rsid w:val="00C76AA3"/>
    <w:rsid w:val="00C76BBA"/>
    <w:rsid w:val="00C778A9"/>
    <w:rsid w:val="00C8037E"/>
    <w:rsid w:val="00C81BFB"/>
    <w:rsid w:val="00C826E3"/>
    <w:rsid w:val="00C8355E"/>
    <w:rsid w:val="00C83DF4"/>
    <w:rsid w:val="00C83E0B"/>
    <w:rsid w:val="00C84214"/>
    <w:rsid w:val="00C842CB"/>
    <w:rsid w:val="00C8501D"/>
    <w:rsid w:val="00C855F3"/>
    <w:rsid w:val="00C9062B"/>
    <w:rsid w:val="00C90C30"/>
    <w:rsid w:val="00C92B1B"/>
    <w:rsid w:val="00C92CD8"/>
    <w:rsid w:val="00C9382E"/>
    <w:rsid w:val="00C93A21"/>
    <w:rsid w:val="00C94878"/>
    <w:rsid w:val="00C9526B"/>
    <w:rsid w:val="00C9720C"/>
    <w:rsid w:val="00CA1101"/>
    <w:rsid w:val="00CA158A"/>
    <w:rsid w:val="00CA1DD4"/>
    <w:rsid w:val="00CA1FAB"/>
    <w:rsid w:val="00CA2572"/>
    <w:rsid w:val="00CA30D2"/>
    <w:rsid w:val="00CA4CAA"/>
    <w:rsid w:val="00CA5197"/>
    <w:rsid w:val="00CA59BA"/>
    <w:rsid w:val="00CA62A8"/>
    <w:rsid w:val="00CA6C55"/>
    <w:rsid w:val="00CA7C20"/>
    <w:rsid w:val="00CB0027"/>
    <w:rsid w:val="00CB0140"/>
    <w:rsid w:val="00CB10D6"/>
    <w:rsid w:val="00CB1136"/>
    <w:rsid w:val="00CB1FE3"/>
    <w:rsid w:val="00CB359B"/>
    <w:rsid w:val="00CB4E8C"/>
    <w:rsid w:val="00CB5B12"/>
    <w:rsid w:val="00CB5DBC"/>
    <w:rsid w:val="00CB6738"/>
    <w:rsid w:val="00CB6C19"/>
    <w:rsid w:val="00CC03F1"/>
    <w:rsid w:val="00CC139D"/>
    <w:rsid w:val="00CC1950"/>
    <w:rsid w:val="00CC2D82"/>
    <w:rsid w:val="00CC34C1"/>
    <w:rsid w:val="00CC38DC"/>
    <w:rsid w:val="00CC3DE8"/>
    <w:rsid w:val="00CC4C0C"/>
    <w:rsid w:val="00CC53A3"/>
    <w:rsid w:val="00CC63B2"/>
    <w:rsid w:val="00CC640B"/>
    <w:rsid w:val="00CC68AD"/>
    <w:rsid w:val="00CC6CD6"/>
    <w:rsid w:val="00CC73FD"/>
    <w:rsid w:val="00CC7509"/>
    <w:rsid w:val="00CD011B"/>
    <w:rsid w:val="00CD1731"/>
    <w:rsid w:val="00CD174C"/>
    <w:rsid w:val="00CD1E6A"/>
    <w:rsid w:val="00CD22ED"/>
    <w:rsid w:val="00CD2336"/>
    <w:rsid w:val="00CD436F"/>
    <w:rsid w:val="00CD5D69"/>
    <w:rsid w:val="00CD7B0E"/>
    <w:rsid w:val="00CE08A8"/>
    <w:rsid w:val="00CE0FA0"/>
    <w:rsid w:val="00CE1567"/>
    <w:rsid w:val="00CE1C0A"/>
    <w:rsid w:val="00CE2A4A"/>
    <w:rsid w:val="00CE2FBD"/>
    <w:rsid w:val="00CE384B"/>
    <w:rsid w:val="00CE4E51"/>
    <w:rsid w:val="00CE63F5"/>
    <w:rsid w:val="00CE654E"/>
    <w:rsid w:val="00CE6EB6"/>
    <w:rsid w:val="00CE6F4C"/>
    <w:rsid w:val="00CE779B"/>
    <w:rsid w:val="00CF00C6"/>
    <w:rsid w:val="00CF0CDC"/>
    <w:rsid w:val="00CF12F0"/>
    <w:rsid w:val="00CF36F7"/>
    <w:rsid w:val="00CF4565"/>
    <w:rsid w:val="00CF5262"/>
    <w:rsid w:val="00CF5749"/>
    <w:rsid w:val="00CF6792"/>
    <w:rsid w:val="00CF7AB1"/>
    <w:rsid w:val="00D009FA"/>
    <w:rsid w:val="00D00ACA"/>
    <w:rsid w:val="00D00DD6"/>
    <w:rsid w:val="00D00E59"/>
    <w:rsid w:val="00D01781"/>
    <w:rsid w:val="00D01AA5"/>
    <w:rsid w:val="00D02909"/>
    <w:rsid w:val="00D02CA5"/>
    <w:rsid w:val="00D0610E"/>
    <w:rsid w:val="00D06D12"/>
    <w:rsid w:val="00D120A0"/>
    <w:rsid w:val="00D12D20"/>
    <w:rsid w:val="00D13132"/>
    <w:rsid w:val="00D1426D"/>
    <w:rsid w:val="00D14C5B"/>
    <w:rsid w:val="00D15DBC"/>
    <w:rsid w:val="00D17257"/>
    <w:rsid w:val="00D17550"/>
    <w:rsid w:val="00D17809"/>
    <w:rsid w:val="00D2165D"/>
    <w:rsid w:val="00D2197A"/>
    <w:rsid w:val="00D22F6A"/>
    <w:rsid w:val="00D231ED"/>
    <w:rsid w:val="00D2344C"/>
    <w:rsid w:val="00D24346"/>
    <w:rsid w:val="00D249F5"/>
    <w:rsid w:val="00D252A9"/>
    <w:rsid w:val="00D25A13"/>
    <w:rsid w:val="00D25B12"/>
    <w:rsid w:val="00D26BEE"/>
    <w:rsid w:val="00D26CBD"/>
    <w:rsid w:val="00D26E43"/>
    <w:rsid w:val="00D27860"/>
    <w:rsid w:val="00D325CE"/>
    <w:rsid w:val="00D3288E"/>
    <w:rsid w:val="00D337AD"/>
    <w:rsid w:val="00D3445D"/>
    <w:rsid w:val="00D3514B"/>
    <w:rsid w:val="00D36B78"/>
    <w:rsid w:val="00D4071D"/>
    <w:rsid w:val="00D41DDF"/>
    <w:rsid w:val="00D42CC5"/>
    <w:rsid w:val="00D445B7"/>
    <w:rsid w:val="00D449F9"/>
    <w:rsid w:val="00D460D5"/>
    <w:rsid w:val="00D469E3"/>
    <w:rsid w:val="00D46DEF"/>
    <w:rsid w:val="00D470F9"/>
    <w:rsid w:val="00D4789B"/>
    <w:rsid w:val="00D51ECB"/>
    <w:rsid w:val="00D530CC"/>
    <w:rsid w:val="00D53DDE"/>
    <w:rsid w:val="00D544E8"/>
    <w:rsid w:val="00D560E5"/>
    <w:rsid w:val="00D5742F"/>
    <w:rsid w:val="00D577AF"/>
    <w:rsid w:val="00D606E9"/>
    <w:rsid w:val="00D6195E"/>
    <w:rsid w:val="00D62083"/>
    <w:rsid w:val="00D63552"/>
    <w:rsid w:val="00D640D8"/>
    <w:rsid w:val="00D65096"/>
    <w:rsid w:val="00D65737"/>
    <w:rsid w:val="00D65B99"/>
    <w:rsid w:val="00D65EB9"/>
    <w:rsid w:val="00D663EF"/>
    <w:rsid w:val="00D676D4"/>
    <w:rsid w:val="00D679F9"/>
    <w:rsid w:val="00D7091F"/>
    <w:rsid w:val="00D70CC8"/>
    <w:rsid w:val="00D7124E"/>
    <w:rsid w:val="00D73ECB"/>
    <w:rsid w:val="00D74144"/>
    <w:rsid w:val="00D762E6"/>
    <w:rsid w:val="00D765B6"/>
    <w:rsid w:val="00D7770B"/>
    <w:rsid w:val="00D77CE0"/>
    <w:rsid w:val="00D80B88"/>
    <w:rsid w:val="00D82064"/>
    <w:rsid w:val="00D8268C"/>
    <w:rsid w:val="00D829D6"/>
    <w:rsid w:val="00D82D3C"/>
    <w:rsid w:val="00D831DE"/>
    <w:rsid w:val="00D83283"/>
    <w:rsid w:val="00D834AF"/>
    <w:rsid w:val="00D835BC"/>
    <w:rsid w:val="00D874F1"/>
    <w:rsid w:val="00D87804"/>
    <w:rsid w:val="00D87D35"/>
    <w:rsid w:val="00D9054A"/>
    <w:rsid w:val="00D90E59"/>
    <w:rsid w:val="00D91C43"/>
    <w:rsid w:val="00D9208A"/>
    <w:rsid w:val="00D9217E"/>
    <w:rsid w:val="00D9411E"/>
    <w:rsid w:val="00D95372"/>
    <w:rsid w:val="00D95413"/>
    <w:rsid w:val="00D95F6B"/>
    <w:rsid w:val="00D979FF"/>
    <w:rsid w:val="00D97CF5"/>
    <w:rsid w:val="00D97F95"/>
    <w:rsid w:val="00DA0FC4"/>
    <w:rsid w:val="00DA1FD5"/>
    <w:rsid w:val="00DA2032"/>
    <w:rsid w:val="00DA2F07"/>
    <w:rsid w:val="00DA487A"/>
    <w:rsid w:val="00DA557C"/>
    <w:rsid w:val="00DA648B"/>
    <w:rsid w:val="00DA6A36"/>
    <w:rsid w:val="00DA7C52"/>
    <w:rsid w:val="00DB0103"/>
    <w:rsid w:val="00DB0AED"/>
    <w:rsid w:val="00DB2C4E"/>
    <w:rsid w:val="00DB3B0E"/>
    <w:rsid w:val="00DB4C93"/>
    <w:rsid w:val="00DB4DE0"/>
    <w:rsid w:val="00DB6FA3"/>
    <w:rsid w:val="00DB7223"/>
    <w:rsid w:val="00DB7D83"/>
    <w:rsid w:val="00DC023E"/>
    <w:rsid w:val="00DC09BA"/>
    <w:rsid w:val="00DC170D"/>
    <w:rsid w:val="00DC1A58"/>
    <w:rsid w:val="00DC3142"/>
    <w:rsid w:val="00DC3C7C"/>
    <w:rsid w:val="00DC3F64"/>
    <w:rsid w:val="00DC6BF6"/>
    <w:rsid w:val="00DC6F6C"/>
    <w:rsid w:val="00DC70F0"/>
    <w:rsid w:val="00DC7381"/>
    <w:rsid w:val="00DC7D58"/>
    <w:rsid w:val="00DD1E03"/>
    <w:rsid w:val="00DD29C5"/>
    <w:rsid w:val="00DD2CF4"/>
    <w:rsid w:val="00DD490B"/>
    <w:rsid w:val="00DD4AC6"/>
    <w:rsid w:val="00DD4F69"/>
    <w:rsid w:val="00DD5824"/>
    <w:rsid w:val="00DD5C0C"/>
    <w:rsid w:val="00DD7079"/>
    <w:rsid w:val="00DE0104"/>
    <w:rsid w:val="00DE0122"/>
    <w:rsid w:val="00DE09BC"/>
    <w:rsid w:val="00DE10A0"/>
    <w:rsid w:val="00DE2635"/>
    <w:rsid w:val="00DE34F9"/>
    <w:rsid w:val="00DE4DF4"/>
    <w:rsid w:val="00DE54A7"/>
    <w:rsid w:val="00DE594F"/>
    <w:rsid w:val="00DE6821"/>
    <w:rsid w:val="00DE7298"/>
    <w:rsid w:val="00DE7799"/>
    <w:rsid w:val="00DE7E76"/>
    <w:rsid w:val="00DF006B"/>
    <w:rsid w:val="00DF077C"/>
    <w:rsid w:val="00DF0963"/>
    <w:rsid w:val="00DF214C"/>
    <w:rsid w:val="00DF32B2"/>
    <w:rsid w:val="00DF3529"/>
    <w:rsid w:val="00DF37CC"/>
    <w:rsid w:val="00DF3A63"/>
    <w:rsid w:val="00DF5654"/>
    <w:rsid w:val="00DF6313"/>
    <w:rsid w:val="00DF7728"/>
    <w:rsid w:val="00DF7FB0"/>
    <w:rsid w:val="00E00F04"/>
    <w:rsid w:val="00E046BE"/>
    <w:rsid w:val="00E046E0"/>
    <w:rsid w:val="00E04AAE"/>
    <w:rsid w:val="00E05202"/>
    <w:rsid w:val="00E05BED"/>
    <w:rsid w:val="00E06783"/>
    <w:rsid w:val="00E07BA8"/>
    <w:rsid w:val="00E104F0"/>
    <w:rsid w:val="00E12AD4"/>
    <w:rsid w:val="00E12B94"/>
    <w:rsid w:val="00E138DA"/>
    <w:rsid w:val="00E14A77"/>
    <w:rsid w:val="00E14D71"/>
    <w:rsid w:val="00E1510F"/>
    <w:rsid w:val="00E15AE8"/>
    <w:rsid w:val="00E15EC6"/>
    <w:rsid w:val="00E15F6A"/>
    <w:rsid w:val="00E161E0"/>
    <w:rsid w:val="00E171AC"/>
    <w:rsid w:val="00E173A0"/>
    <w:rsid w:val="00E17EE8"/>
    <w:rsid w:val="00E20132"/>
    <w:rsid w:val="00E201D4"/>
    <w:rsid w:val="00E205BF"/>
    <w:rsid w:val="00E206AF"/>
    <w:rsid w:val="00E20952"/>
    <w:rsid w:val="00E21F29"/>
    <w:rsid w:val="00E225CE"/>
    <w:rsid w:val="00E23CE0"/>
    <w:rsid w:val="00E23DDF"/>
    <w:rsid w:val="00E24040"/>
    <w:rsid w:val="00E242B3"/>
    <w:rsid w:val="00E2489A"/>
    <w:rsid w:val="00E24D8C"/>
    <w:rsid w:val="00E24ED6"/>
    <w:rsid w:val="00E25FCF"/>
    <w:rsid w:val="00E26180"/>
    <w:rsid w:val="00E277AE"/>
    <w:rsid w:val="00E27941"/>
    <w:rsid w:val="00E3000E"/>
    <w:rsid w:val="00E30740"/>
    <w:rsid w:val="00E3172F"/>
    <w:rsid w:val="00E331B2"/>
    <w:rsid w:val="00E333C1"/>
    <w:rsid w:val="00E3408A"/>
    <w:rsid w:val="00E3620F"/>
    <w:rsid w:val="00E36221"/>
    <w:rsid w:val="00E36C6E"/>
    <w:rsid w:val="00E40478"/>
    <w:rsid w:val="00E40BFC"/>
    <w:rsid w:val="00E41CBF"/>
    <w:rsid w:val="00E44063"/>
    <w:rsid w:val="00E44CAC"/>
    <w:rsid w:val="00E459C9"/>
    <w:rsid w:val="00E466C8"/>
    <w:rsid w:val="00E51914"/>
    <w:rsid w:val="00E51D76"/>
    <w:rsid w:val="00E5299D"/>
    <w:rsid w:val="00E535E9"/>
    <w:rsid w:val="00E558FF"/>
    <w:rsid w:val="00E55CE6"/>
    <w:rsid w:val="00E56648"/>
    <w:rsid w:val="00E56AEC"/>
    <w:rsid w:val="00E56CCE"/>
    <w:rsid w:val="00E578BF"/>
    <w:rsid w:val="00E608FC"/>
    <w:rsid w:val="00E611B3"/>
    <w:rsid w:val="00E6223E"/>
    <w:rsid w:val="00E628BD"/>
    <w:rsid w:val="00E62977"/>
    <w:rsid w:val="00E634C6"/>
    <w:rsid w:val="00E63922"/>
    <w:rsid w:val="00E63999"/>
    <w:rsid w:val="00E63EEB"/>
    <w:rsid w:val="00E64697"/>
    <w:rsid w:val="00E65F48"/>
    <w:rsid w:val="00E715C7"/>
    <w:rsid w:val="00E7377E"/>
    <w:rsid w:val="00E75490"/>
    <w:rsid w:val="00E75880"/>
    <w:rsid w:val="00E75BAF"/>
    <w:rsid w:val="00E779E1"/>
    <w:rsid w:val="00E77BA2"/>
    <w:rsid w:val="00E811FB"/>
    <w:rsid w:val="00E81DE3"/>
    <w:rsid w:val="00E82424"/>
    <w:rsid w:val="00E859CC"/>
    <w:rsid w:val="00E872C8"/>
    <w:rsid w:val="00E90287"/>
    <w:rsid w:val="00E91242"/>
    <w:rsid w:val="00E91665"/>
    <w:rsid w:val="00E92815"/>
    <w:rsid w:val="00E95851"/>
    <w:rsid w:val="00E95AFB"/>
    <w:rsid w:val="00E96622"/>
    <w:rsid w:val="00E96A79"/>
    <w:rsid w:val="00E9747D"/>
    <w:rsid w:val="00EA2F79"/>
    <w:rsid w:val="00EA2FAA"/>
    <w:rsid w:val="00EA4BD7"/>
    <w:rsid w:val="00EA5B83"/>
    <w:rsid w:val="00EA6942"/>
    <w:rsid w:val="00EA729E"/>
    <w:rsid w:val="00EA7673"/>
    <w:rsid w:val="00EA7C5E"/>
    <w:rsid w:val="00EB0359"/>
    <w:rsid w:val="00EB1E84"/>
    <w:rsid w:val="00EB206A"/>
    <w:rsid w:val="00EB56EC"/>
    <w:rsid w:val="00EB593A"/>
    <w:rsid w:val="00EB6360"/>
    <w:rsid w:val="00EB6F71"/>
    <w:rsid w:val="00EC0056"/>
    <w:rsid w:val="00EC11EF"/>
    <w:rsid w:val="00EC1289"/>
    <w:rsid w:val="00EC1673"/>
    <w:rsid w:val="00EC3902"/>
    <w:rsid w:val="00EC3AC6"/>
    <w:rsid w:val="00EC5115"/>
    <w:rsid w:val="00EC5511"/>
    <w:rsid w:val="00EC596F"/>
    <w:rsid w:val="00EC5DF6"/>
    <w:rsid w:val="00EC63D6"/>
    <w:rsid w:val="00EC63F8"/>
    <w:rsid w:val="00EC77DB"/>
    <w:rsid w:val="00ED1AE3"/>
    <w:rsid w:val="00ED1BBF"/>
    <w:rsid w:val="00ED2B2A"/>
    <w:rsid w:val="00ED40D7"/>
    <w:rsid w:val="00ED49F3"/>
    <w:rsid w:val="00ED4F0C"/>
    <w:rsid w:val="00ED5A5D"/>
    <w:rsid w:val="00ED6A34"/>
    <w:rsid w:val="00ED6ED1"/>
    <w:rsid w:val="00ED6F67"/>
    <w:rsid w:val="00ED7339"/>
    <w:rsid w:val="00EE0892"/>
    <w:rsid w:val="00EE15D9"/>
    <w:rsid w:val="00EE3EE7"/>
    <w:rsid w:val="00EE41C6"/>
    <w:rsid w:val="00EE5162"/>
    <w:rsid w:val="00EE5D21"/>
    <w:rsid w:val="00EE720B"/>
    <w:rsid w:val="00EE7221"/>
    <w:rsid w:val="00EE7F13"/>
    <w:rsid w:val="00EF03B1"/>
    <w:rsid w:val="00EF043F"/>
    <w:rsid w:val="00EF365A"/>
    <w:rsid w:val="00EF4EB4"/>
    <w:rsid w:val="00EF6313"/>
    <w:rsid w:val="00EF67C3"/>
    <w:rsid w:val="00EF7176"/>
    <w:rsid w:val="00EF7FBB"/>
    <w:rsid w:val="00F0039A"/>
    <w:rsid w:val="00F0187E"/>
    <w:rsid w:val="00F02805"/>
    <w:rsid w:val="00F02C75"/>
    <w:rsid w:val="00F03896"/>
    <w:rsid w:val="00F03C66"/>
    <w:rsid w:val="00F053D3"/>
    <w:rsid w:val="00F06236"/>
    <w:rsid w:val="00F062AE"/>
    <w:rsid w:val="00F067EC"/>
    <w:rsid w:val="00F06A94"/>
    <w:rsid w:val="00F06C5F"/>
    <w:rsid w:val="00F0796E"/>
    <w:rsid w:val="00F07A5B"/>
    <w:rsid w:val="00F1077B"/>
    <w:rsid w:val="00F1161C"/>
    <w:rsid w:val="00F116C8"/>
    <w:rsid w:val="00F131F4"/>
    <w:rsid w:val="00F13BE6"/>
    <w:rsid w:val="00F142DA"/>
    <w:rsid w:val="00F14D34"/>
    <w:rsid w:val="00F15070"/>
    <w:rsid w:val="00F15427"/>
    <w:rsid w:val="00F1589F"/>
    <w:rsid w:val="00F16055"/>
    <w:rsid w:val="00F175DF"/>
    <w:rsid w:val="00F20289"/>
    <w:rsid w:val="00F26681"/>
    <w:rsid w:val="00F26C2E"/>
    <w:rsid w:val="00F301AB"/>
    <w:rsid w:val="00F3035D"/>
    <w:rsid w:val="00F32CF0"/>
    <w:rsid w:val="00F334BF"/>
    <w:rsid w:val="00F335CF"/>
    <w:rsid w:val="00F34F65"/>
    <w:rsid w:val="00F3639C"/>
    <w:rsid w:val="00F3715B"/>
    <w:rsid w:val="00F37208"/>
    <w:rsid w:val="00F37DCA"/>
    <w:rsid w:val="00F37DEB"/>
    <w:rsid w:val="00F40AD4"/>
    <w:rsid w:val="00F4184C"/>
    <w:rsid w:val="00F42E48"/>
    <w:rsid w:val="00F432D7"/>
    <w:rsid w:val="00F4381B"/>
    <w:rsid w:val="00F43FAD"/>
    <w:rsid w:val="00F445F1"/>
    <w:rsid w:val="00F44675"/>
    <w:rsid w:val="00F44C13"/>
    <w:rsid w:val="00F4532F"/>
    <w:rsid w:val="00F45519"/>
    <w:rsid w:val="00F456E8"/>
    <w:rsid w:val="00F45C5B"/>
    <w:rsid w:val="00F46DE7"/>
    <w:rsid w:val="00F47343"/>
    <w:rsid w:val="00F504B3"/>
    <w:rsid w:val="00F50D1D"/>
    <w:rsid w:val="00F52861"/>
    <w:rsid w:val="00F52FDA"/>
    <w:rsid w:val="00F5379C"/>
    <w:rsid w:val="00F538F5"/>
    <w:rsid w:val="00F5428B"/>
    <w:rsid w:val="00F56030"/>
    <w:rsid w:val="00F5674F"/>
    <w:rsid w:val="00F570B3"/>
    <w:rsid w:val="00F571D1"/>
    <w:rsid w:val="00F57EEF"/>
    <w:rsid w:val="00F6044D"/>
    <w:rsid w:val="00F621E2"/>
    <w:rsid w:val="00F627C3"/>
    <w:rsid w:val="00F629FE"/>
    <w:rsid w:val="00F63935"/>
    <w:rsid w:val="00F643FA"/>
    <w:rsid w:val="00F644F3"/>
    <w:rsid w:val="00F67CBC"/>
    <w:rsid w:val="00F72568"/>
    <w:rsid w:val="00F73615"/>
    <w:rsid w:val="00F73A32"/>
    <w:rsid w:val="00F740E3"/>
    <w:rsid w:val="00F7696E"/>
    <w:rsid w:val="00F76AB8"/>
    <w:rsid w:val="00F76F07"/>
    <w:rsid w:val="00F779ED"/>
    <w:rsid w:val="00F80E23"/>
    <w:rsid w:val="00F81245"/>
    <w:rsid w:val="00F81341"/>
    <w:rsid w:val="00F82538"/>
    <w:rsid w:val="00F83767"/>
    <w:rsid w:val="00F83A95"/>
    <w:rsid w:val="00F8493A"/>
    <w:rsid w:val="00F912C2"/>
    <w:rsid w:val="00F91F1B"/>
    <w:rsid w:val="00F92BF4"/>
    <w:rsid w:val="00F933D1"/>
    <w:rsid w:val="00F93F86"/>
    <w:rsid w:val="00F94A76"/>
    <w:rsid w:val="00F9523E"/>
    <w:rsid w:val="00FA24F8"/>
    <w:rsid w:val="00FA2823"/>
    <w:rsid w:val="00FA4333"/>
    <w:rsid w:val="00FA55DF"/>
    <w:rsid w:val="00FA56DD"/>
    <w:rsid w:val="00FA5A51"/>
    <w:rsid w:val="00FA62BD"/>
    <w:rsid w:val="00FA693F"/>
    <w:rsid w:val="00FA6F61"/>
    <w:rsid w:val="00FA7610"/>
    <w:rsid w:val="00FB1F02"/>
    <w:rsid w:val="00FB1F93"/>
    <w:rsid w:val="00FB2AAE"/>
    <w:rsid w:val="00FB30BE"/>
    <w:rsid w:val="00FB4C95"/>
    <w:rsid w:val="00FB58D2"/>
    <w:rsid w:val="00FB63EA"/>
    <w:rsid w:val="00FB7400"/>
    <w:rsid w:val="00FB75A9"/>
    <w:rsid w:val="00FC0068"/>
    <w:rsid w:val="00FC0230"/>
    <w:rsid w:val="00FC0599"/>
    <w:rsid w:val="00FC10BD"/>
    <w:rsid w:val="00FC10C2"/>
    <w:rsid w:val="00FC1F7A"/>
    <w:rsid w:val="00FC59FC"/>
    <w:rsid w:val="00FC6D59"/>
    <w:rsid w:val="00FC73E4"/>
    <w:rsid w:val="00FC7B94"/>
    <w:rsid w:val="00FD1561"/>
    <w:rsid w:val="00FD4453"/>
    <w:rsid w:val="00FE06DA"/>
    <w:rsid w:val="00FE0C49"/>
    <w:rsid w:val="00FE1C27"/>
    <w:rsid w:val="00FE1EA7"/>
    <w:rsid w:val="00FE2C10"/>
    <w:rsid w:val="00FE39EE"/>
    <w:rsid w:val="00FE41B2"/>
    <w:rsid w:val="00FE6422"/>
    <w:rsid w:val="00FE785D"/>
    <w:rsid w:val="00FE7FA3"/>
    <w:rsid w:val="00FF1194"/>
    <w:rsid w:val="00FF18D9"/>
    <w:rsid w:val="00FF1EB2"/>
    <w:rsid w:val="00FF25D7"/>
    <w:rsid w:val="00FF37D0"/>
    <w:rsid w:val="00FF4EE5"/>
    <w:rsid w:val="00FF5627"/>
    <w:rsid w:val="00FF6CDB"/>
    <w:rsid w:val="036C72C0"/>
    <w:rsid w:val="039E565E"/>
    <w:rsid w:val="03F56B6E"/>
    <w:rsid w:val="0436323C"/>
    <w:rsid w:val="044D6B76"/>
    <w:rsid w:val="05F43C17"/>
    <w:rsid w:val="065003AC"/>
    <w:rsid w:val="07243C21"/>
    <w:rsid w:val="079175D5"/>
    <w:rsid w:val="07B67DB5"/>
    <w:rsid w:val="08770F16"/>
    <w:rsid w:val="099F4937"/>
    <w:rsid w:val="0AF73DC4"/>
    <w:rsid w:val="0C4C646C"/>
    <w:rsid w:val="0C8C174B"/>
    <w:rsid w:val="0D433DF0"/>
    <w:rsid w:val="0E651C83"/>
    <w:rsid w:val="0F2A61B8"/>
    <w:rsid w:val="13590E0D"/>
    <w:rsid w:val="142A0A1C"/>
    <w:rsid w:val="14F645EC"/>
    <w:rsid w:val="1654466D"/>
    <w:rsid w:val="178B5FBB"/>
    <w:rsid w:val="17FF7BE9"/>
    <w:rsid w:val="191762F1"/>
    <w:rsid w:val="19B32589"/>
    <w:rsid w:val="1B0330C8"/>
    <w:rsid w:val="1BAB3F5D"/>
    <w:rsid w:val="1C195A64"/>
    <w:rsid w:val="1C7B3912"/>
    <w:rsid w:val="1C967504"/>
    <w:rsid w:val="1CC56CE2"/>
    <w:rsid w:val="1F206871"/>
    <w:rsid w:val="202659DB"/>
    <w:rsid w:val="203A516D"/>
    <w:rsid w:val="22096FE8"/>
    <w:rsid w:val="228549B6"/>
    <w:rsid w:val="253D32FD"/>
    <w:rsid w:val="25F902EE"/>
    <w:rsid w:val="264D5A11"/>
    <w:rsid w:val="26C3425D"/>
    <w:rsid w:val="28EB5FD2"/>
    <w:rsid w:val="29064277"/>
    <w:rsid w:val="292F1234"/>
    <w:rsid w:val="2CFD6270"/>
    <w:rsid w:val="2F591BB5"/>
    <w:rsid w:val="2F9B7101"/>
    <w:rsid w:val="3025663B"/>
    <w:rsid w:val="31991CAC"/>
    <w:rsid w:val="332E7FB8"/>
    <w:rsid w:val="355A5B3A"/>
    <w:rsid w:val="35991F38"/>
    <w:rsid w:val="35AA2526"/>
    <w:rsid w:val="37857AD6"/>
    <w:rsid w:val="38646666"/>
    <w:rsid w:val="387741DF"/>
    <w:rsid w:val="388A62AF"/>
    <w:rsid w:val="38BA3840"/>
    <w:rsid w:val="38D14C56"/>
    <w:rsid w:val="395257F1"/>
    <w:rsid w:val="39F87B68"/>
    <w:rsid w:val="3A6270A2"/>
    <w:rsid w:val="3B157A79"/>
    <w:rsid w:val="3BA10088"/>
    <w:rsid w:val="3BEF7D48"/>
    <w:rsid w:val="3CCA0A31"/>
    <w:rsid w:val="3CDC60C8"/>
    <w:rsid w:val="3E832E28"/>
    <w:rsid w:val="40683DF8"/>
    <w:rsid w:val="413D2DD5"/>
    <w:rsid w:val="41F228CF"/>
    <w:rsid w:val="42996376"/>
    <w:rsid w:val="42E04617"/>
    <w:rsid w:val="43806ADA"/>
    <w:rsid w:val="43D808C3"/>
    <w:rsid w:val="44BE0511"/>
    <w:rsid w:val="458B5282"/>
    <w:rsid w:val="469C4A1C"/>
    <w:rsid w:val="47144A7E"/>
    <w:rsid w:val="47F31538"/>
    <w:rsid w:val="48AC054A"/>
    <w:rsid w:val="4A7D6F24"/>
    <w:rsid w:val="4B4A4AD9"/>
    <w:rsid w:val="4BA95275"/>
    <w:rsid w:val="4C1A61A4"/>
    <w:rsid w:val="4C9D28EF"/>
    <w:rsid w:val="4E0A457B"/>
    <w:rsid w:val="507977B6"/>
    <w:rsid w:val="51660727"/>
    <w:rsid w:val="51BD341F"/>
    <w:rsid w:val="52D5538C"/>
    <w:rsid w:val="54164E4D"/>
    <w:rsid w:val="54F72240"/>
    <w:rsid w:val="563D17AF"/>
    <w:rsid w:val="5B1751C2"/>
    <w:rsid w:val="5B614873"/>
    <w:rsid w:val="5BB17CA7"/>
    <w:rsid w:val="5D3E30D0"/>
    <w:rsid w:val="5D904D4D"/>
    <w:rsid w:val="5E3F3099"/>
    <w:rsid w:val="5F2C76F4"/>
    <w:rsid w:val="60914E7C"/>
    <w:rsid w:val="609D77EA"/>
    <w:rsid w:val="618C7D93"/>
    <w:rsid w:val="63B11ECC"/>
    <w:rsid w:val="65865C6E"/>
    <w:rsid w:val="66EA279E"/>
    <w:rsid w:val="69366C19"/>
    <w:rsid w:val="6C312E7E"/>
    <w:rsid w:val="6EE7798E"/>
    <w:rsid w:val="6F656912"/>
    <w:rsid w:val="6F8B4DE1"/>
    <w:rsid w:val="70D448EF"/>
    <w:rsid w:val="71FB16D8"/>
    <w:rsid w:val="736D3E10"/>
    <w:rsid w:val="73926164"/>
    <w:rsid w:val="740605B6"/>
    <w:rsid w:val="74787398"/>
    <w:rsid w:val="765B16CD"/>
    <w:rsid w:val="768D23AF"/>
    <w:rsid w:val="76D84A8F"/>
    <w:rsid w:val="78562B1E"/>
    <w:rsid w:val="789806ED"/>
    <w:rsid w:val="78FC50C4"/>
    <w:rsid w:val="79A774B1"/>
    <w:rsid w:val="7AB813D5"/>
    <w:rsid w:val="7C4038FC"/>
    <w:rsid w:val="7D282FEB"/>
    <w:rsid w:val="7D7C4CF0"/>
    <w:rsid w:val="7EFA0AE0"/>
    <w:rsid w:val="7F756DC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iPriority="99"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kern w:val="2"/>
      <w:sz w:val="21"/>
      <w:szCs w:val="24"/>
      <w:lang w:val="en-US" w:eastAsia="zh-CN" w:bidi="ar-SA"/>
    </w:rPr>
  </w:style>
  <w:style w:type="paragraph" w:styleId="3">
    <w:name w:val="heading 2"/>
    <w:basedOn w:val="1"/>
    <w:next w:val="1"/>
    <w:link w:val="22"/>
    <w:qFormat/>
    <w:uiPriority w:val="0"/>
    <w:pPr>
      <w:keepNext/>
      <w:keepLines/>
      <w:spacing w:before="260" w:after="260" w:line="416" w:lineRule="auto"/>
      <w:outlineLvl w:val="1"/>
    </w:pPr>
    <w:rPr>
      <w:rFonts w:ascii="Cambria" w:hAnsi="Cambria"/>
      <w:b/>
      <w:bCs/>
      <w:sz w:val="32"/>
      <w:szCs w:val="32"/>
    </w:rPr>
  </w:style>
  <w:style w:type="paragraph" w:styleId="4">
    <w:name w:val="heading 3"/>
    <w:basedOn w:val="1"/>
    <w:next w:val="1"/>
    <w:link w:val="23"/>
    <w:qFormat/>
    <w:uiPriority w:val="0"/>
    <w:pPr>
      <w:keepNext/>
      <w:keepLines/>
      <w:spacing w:line="360" w:lineRule="auto"/>
      <w:outlineLvl w:val="2"/>
    </w:pPr>
    <w:rPr>
      <w:b/>
      <w:bCs/>
      <w:sz w:val="24"/>
      <w:szCs w:val="32"/>
    </w:rPr>
  </w:style>
  <w:style w:type="character" w:default="1" w:styleId="17">
    <w:name w:val="Default Paragraph Font"/>
    <w:semiHidden/>
    <w:uiPriority w:val="0"/>
  </w:style>
  <w:style w:type="table" w:default="1" w:styleId="15">
    <w:name w:val="Normal Table"/>
    <w:semiHidden/>
    <w:uiPriority w:val="0"/>
    <w:tblPr>
      <w:tblStyle w:val="15"/>
      <w:tblCellMar>
        <w:top w:w="0" w:type="dxa"/>
        <w:left w:w="108" w:type="dxa"/>
        <w:bottom w:w="0" w:type="dxa"/>
        <w:right w:w="108" w:type="dxa"/>
      </w:tblCellMar>
    </w:tblPr>
  </w:style>
  <w:style w:type="paragraph" w:styleId="2">
    <w:name w:val="footer"/>
    <w:basedOn w:val="1"/>
    <w:link w:val="21"/>
    <w:uiPriority w:val="99"/>
    <w:pPr>
      <w:tabs>
        <w:tab w:val="center" w:pos="4153"/>
        <w:tab w:val="right" w:pos="8306"/>
      </w:tabs>
      <w:snapToGrid w:val="0"/>
      <w:jc w:val="left"/>
    </w:pPr>
    <w:rPr>
      <w:sz w:val="18"/>
      <w:szCs w:val="18"/>
    </w:rPr>
  </w:style>
  <w:style w:type="paragraph" w:styleId="5">
    <w:name w:val="Normal Indent"/>
    <w:basedOn w:val="1"/>
    <w:link w:val="24"/>
    <w:unhideWhenUsed/>
    <w:qFormat/>
    <w:uiPriority w:val="0"/>
    <w:pPr>
      <w:ind w:firstLine="420" w:firstLineChars="200"/>
    </w:pPr>
  </w:style>
  <w:style w:type="paragraph" w:styleId="6">
    <w:name w:val="annotation text"/>
    <w:basedOn w:val="1"/>
    <w:link w:val="25"/>
    <w:uiPriority w:val="0"/>
    <w:pPr>
      <w:jc w:val="left"/>
    </w:pPr>
    <w:rPr>
      <w:rFonts w:ascii="Calibri" w:hAnsi="Calibri"/>
    </w:rPr>
  </w:style>
  <w:style w:type="paragraph" w:styleId="7">
    <w:name w:val="Body Text"/>
    <w:basedOn w:val="1"/>
    <w:link w:val="26"/>
    <w:qFormat/>
    <w:uiPriority w:val="0"/>
    <w:pPr>
      <w:spacing w:after="120"/>
    </w:pPr>
  </w:style>
  <w:style w:type="paragraph" w:styleId="8">
    <w:name w:val="Body Text Indent"/>
    <w:basedOn w:val="1"/>
    <w:link w:val="27"/>
    <w:qFormat/>
    <w:uiPriority w:val="0"/>
    <w:pPr>
      <w:spacing w:line="500" w:lineRule="exact"/>
      <w:ind w:firstLine="570"/>
    </w:pPr>
    <w:rPr>
      <w:sz w:val="28"/>
      <w:szCs w:val="20"/>
    </w:rPr>
  </w:style>
  <w:style w:type="paragraph" w:styleId="9">
    <w:name w:val="Plain Text"/>
    <w:basedOn w:val="1"/>
    <w:link w:val="28"/>
    <w:uiPriority w:val="0"/>
    <w:rPr>
      <w:rFonts w:ascii="宋体" w:hAnsi="Courier New"/>
    </w:rPr>
  </w:style>
  <w:style w:type="paragraph" w:styleId="10">
    <w:name w:val="Date"/>
    <w:basedOn w:val="1"/>
    <w:next w:val="1"/>
    <w:link w:val="29"/>
    <w:uiPriority w:val="0"/>
    <w:pPr>
      <w:ind w:left="100" w:leftChars="2500"/>
    </w:pPr>
  </w:style>
  <w:style w:type="paragraph" w:styleId="11">
    <w:name w:val="Balloon Text"/>
    <w:basedOn w:val="1"/>
    <w:link w:val="30"/>
    <w:uiPriority w:val="0"/>
    <w:rPr>
      <w:sz w:val="18"/>
      <w:szCs w:val="18"/>
    </w:rPr>
  </w:style>
  <w:style w:type="paragraph" w:styleId="12">
    <w:name w:val="header"/>
    <w:basedOn w:val="1"/>
    <w:link w:val="31"/>
    <w:uiPriority w:val="0"/>
    <w:pPr>
      <w:pBdr>
        <w:bottom w:val="single" w:color="auto" w:sz="6" w:space="1"/>
      </w:pBdr>
      <w:tabs>
        <w:tab w:val="center" w:pos="4153"/>
        <w:tab w:val="right" w:pos="8306"/>
      </w:tabs>
      <w:snapToGrid w:val="0"/>
      <w:jc w:val="center"/>
    </w:pPr>
    <w:rPr>
      <w:sz w:val="18"/>
      <w:szCs w:val="18"/>
    </w:rPr>
  </w:style>
  <w:style w:type="paragraph" w:styleId="13">
    <w:name w:val="annotation subject"/>
    <w:basedOn w:val="6"/>
    <w:next w:val="6"/>
    <w:link w:val="32"/>
    <w:uiPriority w:val="0"/>
    <w:rPr>
      <w:b/>
      <w:bCs/>
    </w:rPr>
  </w:style>
  <w:style w:type="paragraph" w:styleId="14">
    <w:name w:val="Body Text First Indent 2"/>
    <w:basedOn w:val="8"/>
    <w:link w:val="33"/>
    <w:qFormat/>
    <w:uiPriority w:val="0"/>
    <w:pPr>
      <w:spacing w:after="120" w:line="240" w:lineRule="auto"/>
      <w:ind w:left="420" w:leftChars="200" w:firstLine="420" w:firstLineChars="200"/>
    </w:pPr>
    <w:rPr>
      <w:sz w:val="21"/>
      <w:szCs w:val="24"/>
    </w:rPr>
  </w:style>
  <w:style w:type="table" w:styleId="16">
    <w:name w:val="Table Grid"/>
    <w:basedOn w:val="15"/>
    <w:uiPriority w:val="0"/>
    <w:tblPr>
      <w:tblStyle w:val="15"/>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llowedHyperlink"/>
    <w:unhideWhenUsed/>
    <w:uiPriority w:val="99"/>
    <w:rPr>
      <w:color w:val="800080"/>
      <w:u w:val="single"/>
    </w:rPr>
  </w:style>
  <w:style w:type="character" w:styleId="19">
    <w:name w:val="Hyperlink"/>
    <w:unhideWhenUsed/>
    <w:uiPriority w:val="99"/>
    <w:rPr>
      <w:color w:val="0000FF"/>
      <w:u w:val="single"/>
    </w:rPr>
  </w:style>
  <w:style w:type="character" w:styleId="20">
    <w:name w:val="annotation reference"/>
    <w:uiPriority w:val="0"/>
    <w:rPr>
      <w:sz w:val="21"/>
      <w:szCs w:val="21"/>
    </w:rPr>
  </w:style>
  <w:style w:type="character" w:customStyle="1" w:styleId="21">
    <w:name w:val="页脚 Char"/>
    <w:link w:val="2"/>
    <w:uiPriority w:val="99"/>
    <w:rPr>
      <w:kern w:val="2"/>
      <w:sz w:val="18"/>
      <w:szCs w:val="18"/>
    </w:rPr>
  </w:style>
  <w:style w:type="character" w:customStyle="1" w:styleId="22">
    <w:name w:val="标题 2 Char1"/>
    <w:link w:val="3"/>
    <w:uiPriority w:val="0"/>
    <w:rPr>
      <w:rFonts w:ascii="Cambria" w:hAnsi="Cambria"/>
      <w:b/>
      <w:bCs/>
      <w:kern w:val="2"/>
      <w:sz w:val="32"/>
      <w:szCs w:val="32"/>
    </w:rPr>
  </w:style>
  <w:style w:type="character" w:customStyle="1" w:styleId="23">
    <w:name w:val="标题 3 Char"/>
    <w:link w:val="4"/>
    <w:uiPriority w:val="0"/>
    <w:rPr>
      <w:b/>
      <w:bCs/>
      <w:kern w:val="2"/>
      <w:sz w:val="24"/>
      <w:szCs w:val="32"/>
    </w:rPr>
  </w:style>
  <w:style w:type="character" w:customStyle="1" w:styleId="24">
    <w:name w:val="正文缩进 Char"/>
    <w:link w:val="5"/>
    <w:qFormat/>
    <w:uiPriority w:val="0"/>
    <w:rPr>
      <w:kern w:val="2"/>
      <w:sz w:val="21"/>
      <w:szCs w:val="24"/>
    </w:rPr>
  </w:style>
  <w:style w:type="character" w:customStyle="1" w:styleId="25">
    <w:name w:val="批注文字 Char"/>
    <w:link w:val="6"/>
    <w:uiPriority w:val="0"/>
    <w:rPr>
      <w:rFonts w:ascii="Calibri" w:hAnsi="Calibri"/>
      <w:kern w:val="2"/>
      <w:sz w:val="21"/>
      <w:szCs w:val="24"/>
    </w:rPr>
  </w:style>
  <w:style w:type="character" w:customStyle="1" w:styleId="26">
    <w:name w:val="正文文本 Char"/>
    <w:link w:val="7"/>
    <w:uiPriority w:val="0"/>
    <w:rPr>
      <w:kern w:val="2"/>
      <w:sz w:val="21"/>
      <w:szCs w:val="24"/>
    </w:rPr>
  </w:style>
  <w:style w:type="character" w:customStyle="1" w:styleId="27">
    <w:name w:val="正文文本缩进 Char"/>
    <w:link w:val="8"/>
    <w:uiPriority w:val="0"/>
    <w:rPr>
      <w:kern w:val="2"/>
      <w:sz w:val="28"/>
    </w:rPr>
  </w:style>
  <w:style w:type="character" w:customStyle="1" w:styleId="28">
    <w:name w:val="纯文本 Char"/>
    <w:link w:val="9"/>
    <w:uiPriority w:val="0"/>
    <w:rPr>
      <w:rFonts w:ascii="宋体" w:hAnsi="Courier New"/>
      <w:kern w:val="2"/>
      <w:sz w:val="21"/>
      <w:szCs w:val="24"/>
    </w:rPr>
  </w:style>
  <w:style w:type="character" w:customStyle="1" w:styleId="29">
    <w:name w:val="日期 Char"/>
    <w:link w:val="10"/>
    <w:uiPriority w:val="0"/>
    <w:rPr>
      <w:kern w:val="2"/>
      <w:sz w:val="21"/>
      <w:szCs w:val="24"/>
    </w:rPr>
  </w:style>
  <w:style w:type="character" w:customStyle="1" w:styleId="30">
    <w:name w:val="批注框文本 Char"/>
    <w:link w:val="11"/>
    <w:uiPriority w:val="0"/>
    <w:rPr>
      <w:kern w:val="2"/>
      <w:sz w:val="18"/>
      <w:szCs w:val="18"/>
    </w:rPr>
  </w:style>
  <w:style w:type="character" w:customStyle="1" w:styleId="31">
    <w:name w:val="页眉 Char"/>
    <w:link w:val="12"/>
    <w:uiPriority w:val="0"/>
    <w:rPr>
      <w:kern w:val="2"/>
      <w:sz w:val="18"/>
      <w:szCs w:val="18"/>
    </w:rPr>
  </w:style>
  <w:style w:type="character" w:customStyle="1" w:styleId="32">
    <w:name w:val="批注主题 Char"/>
    <w:link w:val="13"/>
    <w:uiPriority w:val="0"/>
    <w:rPr>
      <w:rFonts w:ascii="Calibri" w:hAnsi="Calibri"/>
      <w:b/>
      <w:bCs/>
      <w:kern w:val="2"/>
      <w:sz w:val="21"/>
      <w:szCs w:val="24"/>
    </w:rPr>
  </w:style>
  <w:style w:type="character" w:customStyle="1" w:styleId="33">
    <w:name w:val="正文首行缩进 2 Char"/>
    <w:link w:val="14"/>
    <w:uiPriority w:val="0"/>
    <w:rPr>
      <w:kern w:val="2"/>
      <w:sz w:val="21"/>
      <w:szCs w:val="24"/>
    </w:rPr>
  </w:style>
  <w:style w:type="character" w:customStyle="1" w:styleId="34">
    <w:name w:val="正文缩进 字符"/>
    <w:qFormat/>
    <w:uiPriority w:val="0"/>
    <w:rPr>
      <w:kern w:val="2"/>
      <w:sz w:val="21"/>
      <w:szCs w:val="24"/>
    </w:rPr>
  </w:style>
  <w:style w:type="character" w:customStyle="1" w:styleId="35">
    <w:name w:val="批注文字 字符1"/>
    <w:uiPriority w:val="0"/>
    <w:rPr>
      <w:kern w:val="2"/>
      <w:sz w:val="21"/>
      <w:szCs w:val="24"/>
    </w:rPr>
  </w:style>
  <w:style w:type="character" w:customStyle="1" w:styleId="36">
    <w:name w:val="日期 字符1"/>
    <w:qFormat/>
    <w:uiPriority w:val="0"/>
    <w:rPr>
      <w:kern w:val="2"/>
      <w:sz w:val="21"/>
      <w:szCs w:val="24"/>
    </w:rPr>
  </w:style>
  <w:style w:type="character" w:customStyle="1" w:styleId="37">
    <w:name w:val="页眉 字符1"/>
    <w:uiPriority w:val="0"/>
    <w:rPr>
      <w:kern w:val="2"/>
      <w:sz w:val="18"/>
      <w:szCs w:val="18"/>
    </w:rPr>
  </w:style>
  <w:style w:type="character" w:customStyle="1" w:styleId="38">
    <w:name w:val="批注文字 字符"/>
    <w:uiPriority w:val="0"/>
    <w:rPr>
      <w:kern w:val="2"/>
      <w:sz w:val="21"/>
      <w:szCs w:val="24"/>
    </w:rPr>
  </w:style>
  <w:style w:type="character" w:customStyle="1" w:styleId="39">
    <w:name w:val="正文文本缩进 字符1"/>
    <w:uiPriority w:val="0"/>
    <w:rPr>
      <w:kern w:val="2"/>
      <w:sz w:val="28"/>
    </w:rPr>
  </w:style>
  <w:style w:type="character" w:customStyle="1" w:styleId="40">
    <w:name w:val="批注框文本 字符1"/>
    <w:uiPriority w:val="0"/>
    <w:rPr>
      <w:kern w:val="2"/>
      <w:sz w:val="18"/>
      <w:szCs w:val="18"/>
    </w:rPr>
  </w:style>
  <w:style w:type="character" w:customStyle="1" w:styleId="41">
    <w:name w:val="页脚 字符1"/>
    <w:uiPriority w:val="99"/>
    <w:rPr>
      <w:kern w:val="2"/>
      <w:sz w:val="18"/>
      <w:szCs w:val="18"/>
    </w:rPr>
  </w:style>
  <w:style w:type="character" w:customStyle="1" w:styleId="42">
    <w:name w:val="标题 3 字符1"/>
    <w:uiPriority w:val="0"/>
    <w:rPr>
      <w:b/>
      <w:bCs/>
      <w:kern w:val="2"/>
      <w:sz w:val="24"/>
      <w:szCs w:val="32"/>
    </w:rPr>
  </w:style>
  <w:style w:type="character" w:customStyle="1" w:styleId="43">
    <w:name w:val="正文缩进 字符1"/>
    <w:qFormat/>
    <w:uiPriority w:val="0"/>
    <w:rPr>
      <w:kern w:val="2"/>
      <w:sz w:val="21"/>
      <w:szCs w:val="24"/>
    </w:rPr>
  </w:style>
  <w:style w:type="character" w:customStyle="1" w:styleId="44">
    <w:name w:val="Body Text Indent 2 Char Char"/>
    <w:link w:val="45"/>
    <w:uiPriority w:val="0"/>
    <w:rPr>
      <w:rFonts w:ascii="Calibri" w:hAnsi="Calibri"/>
    </w:rPr>
  </w:style>
  <w:style w:type="paragraph" w:customStyle="1" w:styleId="45">
    <w:name w:val="正文文本缩进 21"/>
    <w:basedOn w:val="1"/>
    <w:link w:val="44"/>
    <w:uiPriority w:val="0"/>
    <w:pPr>
      <w:adjustRightInd w:val="0"/>
      <w:spacing w:line="480" w:lineRule="auto"/>
      <w:ind w:firstLine="540"/>
      <w:textAlignment w:val="baseline"/>
    </w:pPr>
    <w:rPr>
      <w:rFonts w:ascii="Calibri" w:hAnsi="Calibri"/>
      <w:kern w:val="0"/>
      <w:sz w:val="20"/>
      <w:szCs w:val="20"/>
    </w:rPr>
  </w:style>
  <w:style w:type="character" w:customStyle="1" w:styleId="46">
    <w:name w:val="批注框文本 字符"/>
    <w:uiPriority w:val="0"/>
    <w:rPr>
      <w:kern w:val="2"/>
      <w:sz w:val="18"/>
      <w:szCs w:val="18"/>
    </w:rPr>
  </w:style>
  <w:style w:type="character" w:customStyle="1" w:styleId="47">
    <w:name w:val="font21"/>
    <w:uiPriority w:val="0"/>
    <w:rPr>
      <w:rFonts w:hint="eastAsia" w:ascii="宋体" w:hAnsi="宋体" w:eastAsia="宋体" w:cs="宋体"/>
      <w:color w:val="000000"/>
      <w:sz w:val="20"/>
      <w:szCs w:val="20"/>
      <w:u w:val="none"/>
    </w:rPr>
  </w:style>
  <w:style w:type="character" w:customStyle="1" w:styleId="48">
    <w:name w:val="页脚 字符"/>
    <w:uiPriority w:val="99"/>
  </w:style>
  <w:style w:type="character" w:customStyle="1" w:styleId="49">
    <w:name w:val="日期 字符"/>
    <w:uiPriority w:val="0"/>
    <w:rPr>
      <w:kern w:val="2"/>
      <w:sz w:val="21"/>
      <w:szCs w:val="24"/>
    </w:rPr>
  </w:style>
  <w:style w:type="character" w:customStyle="1" w:styleId="50">
    <w:name w:val="标题 2 Char"/>
    <w:semiHidden/>
    <w:uiPriority w:val="0"/>
    <w:rPr>
      <w:rFonts w:ascii="Cambria" w:hAnsi="Cambria" w:eastAsia="宋体" w:cs="Times New Roman"/>
      <w:b/>
      <w:bCs/>
      <w:kern w:val="2"/>
      <w:sz w:val="32"/>
      <w:szCs w:val="32"/>
    </w:rPr>
  </w:style>
  <w:style w:type="character" w:customStyle="1" w:styleId="51">
    <w:name w:val="纯文本 Char1"/>
    <w:uiPriority w:val="0"/>
    <w:rPr>
      <w:rFonts w:ascii="宋体" w:hAnsi="Courier New" w:cs="Courier New"/>
      <w:kern w:val="2"/>
      <w:sz w:val="21"/>
      <w:szCs w:val="21"/>
    </w:rPr>
  </w:style>
  <w:style w:type="character" w:customStyle="1" w:styleId="52">
    <w:name w:val="正文文本缩进 字符"/>
    <w:qFormat/>
    <w:uiPriority w:val="0"/>
    <w:rPr>
      <w:kern w:val="2"/>
      <w:sz w:val="28"/>
    </w:rPr>
  </w:style>
  <w:style w:type="character" w:customStyle="1" w:styleId="53">
    <w:name w:val="标题 3 字符"/>
    <w:uiPriority w:val="0"/>
    <w:rPr>
      <w:b/>
      <w:bCs/>
      <w:kern w:val="2"/>
      <w:sz w:val="24"/>
      <w:szCs w:val="32"/>
    </w:rPr>
  </w:style>
  <w:style w:type="character" w:customStyle="1" w:styleId="54">
    <w:name w:val="页眉 字符"/>
    <w:uiPriority w:val="0"/>
    <w:rPr>
      <w:kern w:val="2"/>
      <w:sz w:val="18"/>
      <w:szCs w:val="18"/>
    </w:rPr>
  </w:style>
  <w:style w:type="character" w:customStyle="1" w:styleId="55">
    <w:name w:val="标题 2 字符"/>
    <w:uiPriority w:val="0"/>
    <w:rPr>
      <w:rFonts w:ascii="Cambria" w:hAnsi="Cambria"/>
      <w:b/>
      <w:bCs/>
      <w:kern w:val="2"/>
      <w:sz w:val="32"/>
      <w:szCs w:val="32"/>
    </w:rPr>
  </w:style>
  <w:style w:type="character" w:customStyle="1" w:styleId="56">
    <w:name w:val="font01"/>
    <w:uiPriority w:val="0"/>
    <w:rPr>
      <w:rFonts w:hint="eastAsia" w:ascii="宋体" w:hAnsi="宋体" w:eastAsia="宋体" w:cs="宋体"/>
      <w:color w:val="FF0000"/>
      <w:sz w:val="20"/>
      <w:szCs w:val="20"/>
      <w:u w:val="none"/>
    </w:rPr>
  </w:style>
  <w:style w:type="paragraph" w:customStyle="1" w:styleId="57">
    <w:name w:val="font6"/>
    <w:basedOn w:val="1"/>
    <w:uiPriority w:val="0"/>
    <w:pPr>
      <w:widowControl/>
      <w:spacing w:before="100" w:beforeAutospacing="1" w:after="100" w:afterAutospacing="1"/>
      <w:jc w:val="left"/>
    </w:pPr>
    <w:rPr>
      <w:b/>
      <w:bCs/>
      <w:color w:val="000000"/>
      <w:kern w:val="0"/>
      <w:sz w:val="32"/>
      <w:szCs w:val="32"/>
    </w:rPr>
  </w:style>
  <w:style w:type="paragraph" w:customStyle="1" w:styleId="58">
    <w:name w:val="font7"/>
    <w:basedOn w:val="1"/>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59">
    <w:name w:val="xl118"/>
    <w:basedOn w:val="1"/>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right"/>
    </w:pPr>
    <w:rPr>
      <w:rFonts w:ascii="宋体" w:hAnsi="宋体" w:cs="宋体"/>
      <w:color w:val="000000"/>
      <w:kern w:val="0"/>
      <w:sz w:val="24"/>
    </w:rPr>
  </w:style>
  <w:style w:type="paragraph" w:customStyle="1" w:styleId="60">
    <w:name w:val="xl88"/>
    <w:basedOn w:val="1"/>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61">
    <w:name w:val="xl90"/>
    <w:basedOn w:val="1"/>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4"/>
    </w:rPr>
  </w:style>
  <w:style w:type="paragraph" w:customStyle="1" w:styleId="62">
    <w:name w:val="xl77"/>
    <w:basedOn w:val="1"/>
    <w:uiPriority w:val="0"/>
    <w:pPr>
      <w:widowControl/>
      <w:pBdr>
        <w:top w:val="single" w:color="000000" w:sz="4" w:space="0"/>
        <w:left w:val="single" w:color="000000" w:sz="4" w:space="0"/>
        <w:bottom w:val="single" w:color="000000" w:sz="8" w:space="0"/>
        <w:right w:val="single" w:color="000000" w:sz="4" w:space="0"/>
      </w:pBdr>
      <w:shd w:val="clear" w:color="FFFFFF" w:fill="FFFFFF"/>
      <w:spacing w:before="100" w:beforeAutospacing="1" w:after="100" w:afterAutospacing="1"/>
      <w:jc w:val="center"/>
      <w:textAlignment w:val="center"/>
    </w:pPr>
    <w:rPr>
      <w:rFonts w:ascii="宋体" w:hAnsi="宋体" w:cs="宋体"/>
      <w:kern w:val="0"/>
      <w:sz w:val="20"/>
      <w:szCs w:val="20"/>
    </w:rPr>
  </w:style>
  <w:style w:type="paragraph" w:customStyle="1" w:styleId="63">
    <w:name w:val="xl10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64">
    <w:name w:val="xl111"/>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4"/>
    </w:rPr>
  </w:style>
  <w:style w:type="paragraph" w:customStyle="1" w:styleId="65">
    <w:name w:val="font5"/>
    <w:basedOn w:val="1"/>
    <w:uiPriority w:val="0"/>
    <w:pPr>
      <w:widowControl/>
      <w:spacing w:before="100" w:beforeAutospacing="1" w:after="100" w:afterAutospacing="1"/>
      <w:jc w:val="left"/>
    </w:pPr>
    <w:rPr>
      <w:rFonts w:ascii="宋体" w:hAnsi="宋体" w:cs="宋体"/>
      <w:kern w:val="0"/>
      <w:sz w:val="18"/>
      <w:szCs w:val="18"/>
    </w:rPr>
  </w:style>
  <w:style w:type="paragraph" w:customStyle="1" w:styleId="66">
    <w:name w:val="xl78"/>
    <w:basedOn w:val="1"/>
    <w:uiPriority w:val="0"/>
    <w:pPr>
      <w:widowControl/>
      <w:shd w:val="clear" w:color="FFFFFF" w:fill="FFFFFF"/>
      <w:spacing w:before="100" w:beforeAutospacing="1" w:after="100" w:afterAutospacing="1"/>
      <w:jc w:val="left"/>
      <w:textAlignment w:val="top"/>
    </w:pPr>
    <w:rPr>
      <w:rFonts w:ascii="宋体" w:hAnsi="宋体" w:cs="宋体"/>
      <w:kern w:val="0"/>
      <w:sz w:val="24"/>
    </w:rPr>
  </w:style>
  <w:style w:type="paragraph" w:customStyle="1" w:styleId="67">
    <w:name w:val="xl74"/>
    <w:basedOn w:val="1"/>
    <w:uiPriority w:val="0"/>
    <w:pPr>
      <w:widowControl/>
      <w:pBdr>
        <w:top w:val="single" w:color="000000" w:sz="8" w:space="0"/>
        <w:left w:val="single" w:color="000000" w:sz="4" w:space="0"/>
        <w:bottom w:val="single" w:color="000000" w:sz="4" w:space="0"/>
        <w:right w:val="single" w:color="000000" w:sz="4" w:space="0"/>
      </w:pBdr>
      <w:shd w:val="clear" w:color="FFFFFF" w:fill="FFFFFF"/>
      <w:spacing w:before="100" w:beforeAutospacing="1" w:after="100" w:afterAutospacing="1"/>
      <w:jc w:val="center"/>
      <w:textAlignment w:val="center"/>
    </w:pPr>
    <w:rPr>
      <w:rFonts w:ascii="宋体" w:hAnsi="宋体" w:cs="宋体"/>
      <w:kern w:val="0"/>
      <w:sz w:val="20"/>
      <w:szCs w:val="20"/>
    </w:rPr>
  </w:style>
  <w:style w:type="paragraph" w:customStyle="1" w:styleId="68">
    <w:name w:val="xl121"/>
    <w:basedOn w:val="1"/>
    <w:uiPriority w:val="0"/>
    <w:pPr>
      <w:widowControl/>
      <w:spacing w:before="100" w:beforeAutospacing="1" w:after="100" w:afterAutospacing="1"/>
      <w:jc w:val="right"/>
    </w:pPr>
    <w:rPr>
      <w:rFonts w:ascii="宋体" w:hAnsi="宋体" w:cs="宋体"/>
      <w:kern w:val="0"/>
      <w:sz w:val="24"/>
    </w:rPr>
  </w:style>
  <w:style w:type="paragraph" w:customStyle="1" w:styleId="69">
    <w:name w:val="xl71"/>
    <w:basedOn w:val="1"/>
    <w:uiPriority w:val="0"/>
    <w:pPr>
      <w:widowControl/>
      <w:shd w:val="clear" w:color="FFFFFF" w:fill="FFFFFF"/>
      <w:spacing w:before="100" w:beforeAutospacing="1" w:after="100" w:afterAutospacing="1"/>
      <w:jc w:val="left"/>
    </w:pPr>
    <w:rPr>
      <w:rFonts w:ascii="宋体" w:hAnsi="宋体" w:cs="宋体"/>
      <w:kern w:val="0"/>
      <w:sz w:val="20"/>
      <w:szCs w:val="20"/>
    </w:rPr>
  </w:style>
  <w:style w:type="paragraph" w:customStyle="1" w:styleId="70">
    <w:name w:val="xl10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71">
    <w:name w:val="xl11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cs="宋体"/>
      <w:color w:val="000000"/>
      <w:kern w:val="0"/>
      <w:sz w:val="24"/>
    </w:rPr>
  </w:style>
  <w:style w:type="paragraph" w:customStyle="1" w:styleId="72">
    <w:name w:val="xl82"/>
    <w:basedOn w:val="1"/>
    <w:uiPriority w:val="0"/>
    <w:pPr>
      <w:widowControl/>
      <w:shd w:val="clear" w:color="FFFFFF" w:fill="FFFFFF"/>
      <w:spacing w:before="100" w:beforeAutospacing="1" w:after="100" w:afterAutospacing="1"/>
      <w:jc w:val="right"/>
      <w:textAlignment w:val="top"/>
    </w:pPr>
    <w:rPr>
      <w:rFonts w:ascii="宋体" w:hAnsi="宋体" w:cs="宋体"/>
      <w:kern w:val="0"/>
      <w:sz w:val="24"/>
    </w:rPr>
  </w:style>
  <w:style w:type="paragraph" w:customStyle="1" w:styleId="73">
    <w:name w:val="xl76"/>
    <w:basedOn w:val="1"/>
    <w:uiPriority w:val="0"/>
    <w:pPr>
      <w:widowControl/>
      <w:pBdr>
        <w:top w:val="single" w:color="000000" w:sz="4" w:space="0"/>
        <w:left w:val="single" w:color="000000" w:sz="4" w:space="0"/>
        <w:bottom w:val="single" w:color="000000" w:sz="8" w:space="0"/>
        <w:right w:val="single" w:color="000000" w:sz="4" w:space="0"/>
      </w:pBdr>
      <w:shd w:val="clear" w:color="FFFFFF" w:fill="FFFFFF"/>
      <w:spacing w:before="100" w:beforeAutospacing="1" w:after="100" w:afterAutospacing="1"/>
      <w:jc w:val="center"/>
      <w:textAlignment w:val="center"/>
    </w:pPr>
    <w:rPr>
      <w:rFonts w:ascii="黑体" w:hAnsi="黑体" w:eastAsia="黑体" w:cs="宋体"/>
      <w:kern w:val="0"/>
      <w:sz w:val="20"/>
      <w:szCs w:val="20"/>
    </w:rPr>
  </w:style>
  <w:style w:type="paragraph" w:customStyle="1" w:styleId="74">
    <w:name w:val="xl67"/>
    <w:basedOn w:val="1"/>
    <w:uiPriority w:val="0"/>
    <w:pPr>
      <w:widowControl/>
      <w:pBdr>
        <w:top w:val="single" w:color="000000" w:sz="4" w:space="0"/>
        <w:left w:val="single" w:color="000000" w:sz="4" w:space="0"/>
        <w:bottom w:val="single" w:color="000000" w:sz="4" w:space="0"/>
        <w:right w:val="single" w:color="000000" w:sz="4" w:space="0"/>
      </w:pBdr>
      <w:shd w:val="clear" w:color="FFFFFF" w:fill="FFFFFF"/>
      <w:spacing w:before="100" w:beforeAutospacing="1" w:after="100" w:afterAutospacing="1"/>
      <w:jc w:val="right"/>
      <w:textAlignment w:val="center"/>
    </w:pPr>
    <w:rPr>
      <w:rFonts w:ascii="宋体" w:hAnsi="宋体" w:cs="宋体"/>
      <w:kern w:val="0"/>
      <w:sz w:val="20"/>
      <w:szCs w:val="20"/>
    </w:rPr>
  </w:style>
  <w:style w:type="paragraph" w:customStyle="1" w:styleId="75">
    <w:name w:val="xl92"/>
    <w:basedOn w:val="1"/>
    <w:uiPriority w:val="0"/>
    <w:pPr>
      <w:widowControl/>
      <w:pBdr>
        <w:top w:val="single" w:color="000000" w:sz="4" w:space="0"/>
        <w:bottom w:val="single" w:color="000000" w:sz="4" w:space="0"/>
        <w:right w:val="single" w:color="000000" w:sz="4" w:space="0"/>
      </w:pBdr>
      <w:spacing w:before="100" w:beforeAutospacing="1" w:after="100" w:afterAutospacing="1"/>
      <w:jc w:val="center"/>
    </w:pPr>
    <w:rPr>
      <w:rFonts w:ascii="宋体" w:hAnsi="宋体" w:cs="宋体"/>
      <w:color w:val="000000"/>
      <w:kern w:val="0"/>
      <w:sz w:val="20"/>
      <w:szCs w:val="20"/>
    </w:rPr>
  </w:style>
  <w:style w:type="paragraph" w:customStyle="1" w:styleId="76">
    <w:name w:val="列出段落1"/>
    <w:basedOn w:val="1"/>
    <w:qFormat/>
    <w:uiPriority w:val="34"/>
    <w:pPr>
      <w:ind w:firstLine="420" w:firstLineChars="200"/>
    </w:pPr>
  </w:style>
  <w:style w:type="paragraph" w:customStyle="1" w:styleId="77">
    <w:name w:val="xl100"/>
    <w:basedOn w:val="1"/>
    <w:uiPriority w:val="0"/>
    <w:pPr>
      <w:widowControl/>
      <w:spacing w:before="100" w:beforeAutospacing="1" w:after="100" w:afterAutospacing="1"/>
      <w:jc w:val="left"/>
    </w:pPr>
    <w:rPr>
      <w:rFonts w:ascii="宋体" w:hAnsi="宋体" w:cs="宋体"/>
      <w:b/>
      <w:bCs/>
      <w:kern w:val="0"/>
      <w:sz w:val="24"/>
    </w:rPr>
  </w:style>
  <w:style w:type="paragraph" w:customStyle="1" w:styleId="78">
    <w:name w:val="xl81"/>
    <w:basedOn w:val="1"/>
    <w:uiPriority w:val="0"/>
    <w:pPr>
      <w:widowControl/>
      <w:pBdr>
        <w:top w:val="single" w:color="000000" w:sz="4" w:space="0"/>
        <w:left w:val="single" w:color="000000" w:sz="4" w:space="0"/>
        <w:bottom w:val="single" w:color="000000" w:sz="4" w:space="0"/>
        <w:right w:val="single" w:color="000000" w:sz="4" w:space="0"/>
      </w:pBdr>
      <w:shd w:val="clear" w:color="FFFFFF" w:fill="FFFFFF"/>
      <w:spacing w:before="100" w:beforeAutospacing="1" w:after="100" w:afterAutospacing="1"/>
      <w:jc w:val="center"/>
      <w:textAlignment w:val="center"/>
    </w:pPr>
    <w:rPr>
      <w:rFonts w:ascii="黑体" w:hAnsi="黑体" w:eastAsia="黑体" w:cs="宋体"/>
      <w:kern w:val="0"/>
      <w:sz w:val="20"/>
      <w:szCs w:val="20"/>
    </w:rPr>
  </w:style>
  <w:style w:type="paragraph" w:customStyle="1" w:styleId="79">
    <w:name w:val="xl122"/>
    <w:basedOn w:val="1"/>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4"/>
    </w:rPr>
  </w:style>
  <w:style w:type="paragraph" w:customStyle="1" w:styleId="80">
    <w:name w:val="xl86"/>
    <w:basedOn w:val="1"/>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4"/>
    </w:rPr>
  </w:style>
  <w:style w:type="paragraph" w:customStyle="1" w:styleId="81">
    <w:name w:val="xl69"/>
    <w:basedOn w:val="1"/>
    <w:uiPriority w:val="0"/>
    <w:pPr>
      <w:widowControl/>
      <w:shd w:val="clear" w:color="FFFFFF" w:fill="FFFFFF"/>
      <w:spacing w:before="100" w:beforeAutospacing="1" w:after="100" w:afterAutospacing="1"/>
      <w:jc w:val="center"/>
      <w:textAlignment w:val="center"/>
    </w:pPr>
    <w:rPr>
      <w:rFonts w:ascii="宋体" w:hAnsi="宋体" w:cs="宋体"/>
      <w:b/>
      <w:bCs/>
      <w:kern w:val="0"/>
      <w:sz w:val="40"/>
      <w:szCs w:val="40"/>
    </w:rPr>
  </w:style>
  <w:style w:type="paragraph" w:customStyle="1" w:styleId="82">
    <w:name w:val="xl124"/>
    <w:basedOn w:val="1"/>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24"/>
    </w:rPr>
  </w:style>
  <w:style w:type="paragraph" w:customStyle="1" w:styleId="83">
    <w:name w:val="xl66"/>
    <w:basedOn w:val="1"/>
    <w:uiPriority w:val="0"/>
    <w:pPr>
      <w:widowControl/>
      <w:pBdr>
        <w:top w:val="single" w:color="000000" w:sz="4" w:space="0"/>
        <w:left w:val="single" w:color="000000" w:sz="4" w:space="0"/>
        <w:bottom w:val="single" w:color="000000" w:sz="4" w:space="0"/>
        <w:right w:val="single" w:color="000000" w:sz="4" w:space="0"/>
      </w:pBdr>
      <w:shd w:val="clear" w:color="FFFFFF" w:fill="FFFFFF"/>
      <w:spacing w:before="100" w:beforeAutospacing="1" w:after="100" w:afterAutospacing="1"/>
      <w:jc w:val="left"/>
      <w:textAlignment w:val="center"/>
    </w:pPr>
    <w:rPr>
      <w:rFonts w:ascii="宋体" w:hAnsi="宋体" w:cs="宋体"/>
      <w:kern w:val="0"/>
      <w:sz w:val="20"/>
      <w:szCs w:val="20"/>
    </w:rPr>
  </w:style>
  <w:style w:type="paragraph" w:styleId="84">
    <w:name w:val="List Paragraph"/>
    <w:basedOn w:val="1"/>
    <w:qFormat/>
    <w:uiPriority w:val="34"/>
    <w:pPr>
      <w:ind w:firstLine="420" w:firstLineChars="200"/>
    </w:pPr>
  </w:style>
  <w:style w:type="paragraph" w:customStyle="1" w:styleId="85">
    <w:name w:val="xl91"/>
    <w:basedOn w:val="1"/>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86">
    <w:name w:val="xl116"/>
    <w:basedOn w:val="1"/>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right"/>
    </w:pPr>
    <w:rPr>
      <w:rFonts w:ascii="宋体" w:hAnsi="宋体" w:cs="宋体"/>
      <w:b/>
      <w:bCs/>
      <w:color w:val="000000"/>
      <w:kern w:val="0"/>
      <w:sz w:val="24"/>
    </w:rPr>
  </w:style>
  <w:style w:type="paragraph" w:customStyle="1" w:styleId="87">
    <w:name w:val="xl101"/>
    <w:basedOn w:val="1"/>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4"/>
    </w:rPr>
  </w:style>
  <w:style w:type="paragraph" w:customStyle="1" w:styleId="88">
    <w:name w:val="xl83"/>
    <w:basedOn w:val="1"/>
    <w:uiPriority w:val="0"/>
    <w:pPr>
      <w:widowControl/>
      <w:pBdr>
        <w:top w:val="single" w:color="000000" w:sz="4" w:space="0"/>
        <w:left w:val="single" w:color="000000" w:sz="4" w:space="0"/>
        <w:bottom w:val="single" w:color="000000" w:sz="4" w:space="0"/>
        <w:right w:val="single" w:color="000000" w:sz="4" w:space="0"/>
      </w:pBdr>
      <w:shd w:val="clear" w:color="FFFFFF" w:fill="FFFFFF"/>
      <w:spacing w:before="100" w:beforeAutospacing="1" w:after="100" w:afterAutospacing="1"/>
      <w:jc w:val="center"/>
      <w:textAlignment w:val="center"/>
    </w:pPr>
    <w:rPr>
      <w:rFonts w:ascii="黑体" w:hAnsi="黑体" w:eastAsia="黑体" w:cs="宋体"/>
      <w:kern w:val="0"/>
      <w:sz w:val="20"/>
      <w:szCs w:val="20"/>
    </w:rPr>
  </w:style>
  <w:style w:type="paragraph" w:customStyle="1" w:styleId="89">
    <w:name w:val="xl127"/>
    <w:basedOn w:val="1"/>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4"/>
    </w:rPr>
  </w:style>
  <w:style w:type="paragraph" w:customStyle="1" w:styleId="90">
    <w:name w:val="xl75"/>
    <w:basedOn w:val="1"/>
    <w:uiPriority w:val="0"/>
    <w:pPr>
      <w:widowControl/>
      <w:pBdr>
        <w:top w:val="single" w:color="000000" w:sz="4" w:space="0"/>
        <w:left w:val="single" w:color="000000" w:sz="8" w:space="0"/>
        <w:bottom w:val="single" w:color="000000" w:sz="8" w:space="0"/>
        <w:right w:val="single" w:color="000000" w:sz="4" w:space="0"/>
      </w:pBdr>
      <w:shd w:val="clear" w:color="FFFFFF" w:fill="FFFFFF"/>
      <w:spacing w:before="100" w:beforeAutospacing="1" w:after="100" w:afterAutospacing="1"/>
      <w:jc w:val="center"/>
      <w:textAlignment w:val="center"/>
    </w:pPr>
    <w:rPr>
      <w:rFonts w:ascii="宋体" w:hAnsi="宋体" w:cs="宋体"/>
      <w:kern w:val="0"/>
      <w:sz w:val="20"/>
      <w:szCs w:val="20"/>
    </w:rPr>
  </w:style>
  <w:style w:type="paragraph" w:customStyle="1" w:styleId="91">
    <w:name w:val="xl129"/>
    <w:basedOn w:val="1"/>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92">
    <w:name w:val="xl70"/>
    <w:basedOn w:val="1"/>
    <w:uiPriority w:val="0"/>
    <w:pPr>
      <w:widowControl/>
      <w:shd w:val="clear" w:color="FFFFFF" w:fill="FFFFFF"/>
      <w:spacing w:before="100" w:beforeAutospacing="1" w:after="100" w:afterAutospacing="1"/>
      <w:jc w:val="right"/>
      <w:textAlignment w:val="center"/>
    </w:pPr>
    <w:rPr>
      <w:rFonts w:ascii="宋体" w:hAnsi="宋体" w:cs="宋体"/>
      <w:b/>
      <w:bCs/>
      <w:kern w:val="0"/>
      <w:sz w:val="40"/>
      <w:szCs w:val="40"/>
    </w:rPr>
  </w:style>
  <w:style w:type="paragraph" w:customStyle="1" w:styleId="93">
    <w:name w:val="xl64"/>
    <w:basedOn w:val="1"/>
    <w:uiPriority w:val="0"/>
    <w:pPr>
      <w:widowControl/>
      <w:pBdr>
        <w:top w:val="single" w:color="000000" w:sz="4" w:space="0"/>
        <w:left w:val="single" w:color="000000" w:sz="8" w:space="0"/>
        <w:bottom w:val="single" w:color="000000" w:sz="4" w:space="0"/>
        <w:right w:val="single" w:color="000000" w:sz="4" w:space="0"/>
      </w:pBdr>
      <w:shd w:val="clear" w:color="FFFFFF" w:fill="FFFFFF"/>
      <w:spacing w:before="100" w:beforeAutospacing="1" w:after="100" w:afterAutospacing="1"/>
      <w:jc w:val="center"/>
      <w:textAlignment w:val="center"/>
    </w:pPr>
    <w:rPr>
      <w:rFonts w:ascii="宋体" w:hAnsi="宋体" w:cs="宋体"/>
      <w:kern w:val="0"/>
      <w:sz w:val="20"/>
      <w:szCs w:val="20"/>
    </w:rPr>
  </w:style>
  <w:style w:type="paragraph" w:customStyle="1" w:styleId="94">
    <w:name w:val="xl10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4"/>
    </w:rPr>
  </w:style>
  <w:style w:type="paragraph" w:customStyle="1" w:styleId="95">
    <w:name w:val="xl73"/>
    <w:basedOn w:val="1"/>
    <w:uiPriority w:val="0"/>
    <w:pPr>
      <w:widowControl/>
      <w:pBdr>
        <w:top w:val="single" w:color="000000" w:sz="8" w:space="0"/>
        <w:left w:val="single" w:color="000000" w:sz="8" w:space="0"/>
        <w:bottom w:val="single" w:color="000000" w:sz="4" w:space="0"/>
        <w:right w:val="single" w:color="000000" w:sz="4" w:space="0"/>
      </w:pBdr>
      <w:shd w:val="clear" w:color="FFFFFF" w:fill="FFFFFF"/>
      <w:spacing w:before="100" w:beforeAutospacing="1" w:after="100" w:afterAutospacing="1"/>
      <w:jc w:val="center"/>
      <w:textAlignment w:val="center"/>
    </w:pPr>
    <w:rPr>
      <w:rFonts w:ascii="宋体" w:hAnsi="宋体" w:cs="宋体"/>
      <w:kern w:val="0"/>
      <w:sz w:val="20"/>
      <w:szCs w:val="20"/>
    </w:rPr>
  </w:style>
  <w:style w:type="paragraph" w:customStyle="1" w:styleId="96">
    <w:name w:val="xl98"/>
    <w:basedOn w:val="1"/>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4"/>
    </w:rPr>
  </w:style>
  <w:style w:type="paragraph" w:customStyle="1" w:styleId="97">
    <w:name w:val="xl11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98">
    <w:name w:val="xl10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99">
    <w:name w:val="xl84"/>
    <w:basedOn w:val="1"/>
    <w:uiPriority w:val="0"/>
    <w:pPr>
      <w:widowControl/>
      <w:pBdr>
        <w:top w:val="single" w:color="000000" w:sz="4" w:space="0"/>
        <w:left w:val="single" w:color="000000" w:sz="4" w:space="0"/>
        <w:bottom w:val="single" w:color="000000" w:sz="8" w:space="0"/>
        <w:right w:val="single" w:color="000000" w:sz="4" w:space="0"/>
      </w:pBdr>
      <w:shd w:val="clear" w:color="FFFFFF" w:fill="FFFFFF"/>
      <w:spacing w:before="100" w:beforeAutospacing="1" w:after="100" w:afterAutospacing="1"/>
      <w:jc w:val="center"/>
      <w:textAlignment w:val="center"/>
    </w:pPr>
    <w:rPr>
      <w:rFonts w:ascii="宋体" w:hAnsi="宋体" w:cs="宋体"/>
      <w:kern w:val="0"/>
      <w:sz w:val="20"/>
      <w:szCs w:val="20"/>
    </w:rPr>
  </w:style>
  <w:style w:type="paragraph" w:customStyle="1" w:styleId="100">
    <w:name w:val="xl93"/>
    <w:basedOn w:val="1"/>
    <w:uiPriority w:val="0"/>
    <w:pPr>
      <w:widowControl/>
      <w:spacing w:before="100" w:beforeAutospacing="1" w:after="100" w:afterAutospacing="1"/>
      <w:jc w:val="left"/>
    </w:pPr>
    <w:rPr>
      <w:rFonts w:ascii="宋体" w:hAnsi="宋体" w:cs="宋体"/>
      <w:color w:val="000000"/>
      <w:kern w:val="0"/>
      <w:sz w:val="20"/>
      <w:szCs w:val="20"/>
    </w:rPr>
  </w:style>
  <w:style w:type="paragraph" w:customStyle="1" w:styleId="101">
    <w:name w:val="xl79"/>
    <w:basedOn w:val="1"/>
    <w:uiPriority w:val="0"/>
    <w:pPr>
      <w:widowControl/>
      <w:shd w:val="clear" w:color="FFFFFF" w:fill="FFFFFF"/>
      <w:spacing w:before="100" w:beforeAutospacing="1" w:after="100" w:afterAutospacing="1"/>
      <w:jc w:val="left"/>
      <w:textAlignment w:val="top"/>
    </w:pPr>
    <w:rPr>
      <w:rFonts w:ascii="宋体" w:hAnsi="宋体" w:cs="宋体"/>
      <w:kern w:val="0"/>
      <w:sz w:val="24"/>
      <w:u w:val="single"/>
    </w:rPr>
  </w:style>
  <w:style w:type="paragraph" w:customStyle="1" w:styleId="102">
    <w:name w:val="xl123"/>
    <w:basedOn w:val="1"/>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4"/>
    </w:rPr>
  </w:style>
  <w:style w:type="paragraph" w:customStyle="1" w:styleId="103">
    <w:name w:val="xl68"/>
    <w:basedOn w:val="1"/>
    <w:uiPriority w:val="0"/>
    <w:pPr>
      <w:widowControl/>
      <w:pBdr>
        <w:top w:val="single" w:color="000000" w:sz="4" w:space="0"/>
        <w:left w:val="single" w:color="000000" w:sz="4" w:space="0"/>
        <w:bottom w:val="single" w:color="000000" w:sz="8" w:space="0"/>
        <w:right w:val="single" w:color="000000" w:sz="4" w:space="0"/>
      </w:pBdr>
      <w:shd w:val="clear" w:color="FFFFFF" w:fill="FFFFFF"/>
      <w:spacing w:before="100" w:beforeAutospacing="1" w:after="100" w:afterAutospacing="1"/>
      <w:jc w:val="right"/>
      <w:textAlignment w:val="center"/>
    </w:pPr>
    <w:rPr>
      <w:rFonts w:ascii="宋体" w:hAnsi="宋体" w:cs="宋体"/>
      <w:kern w:val="0"/>
      <w:sz w:val="20"/>
      <w:szCs w:val="20"/>
    </w:rPr>
  </w:style>
  <w:style w:type="paragraph" w:customStyle="1" w:styleId="104">
    <w:name w:val="xl65"/>
    <w:basedOn w:val="1"/>
    <w:uiPriority w:val="0"/>
    <w:pPr>
      <w:widowControl/>
      <w:pBdr>
        <w:top w:val="single" w:color="000000" w:sz="4" w:space="0"/>
        <w:left w:val="single" w:color="000000" w:sz="4" w:space="0"/>
        <w:bottom w:val="single" w:color="000000" w:sz="4" w:space="0"/>
        <w:right w:val="single" w:color="000000" w:sz="4" w:space="0"/>
      </w:pBdr>
      <w:shd w:val="clear" w:color="FFFFFF" w:fill="FFFFFF"/>
      <w:spacing w:before="100" w:beforeAutospacing="1" w:after="100" w:afterAutospacing="1"/>
      <w:jc w:val="center"/>
      <w:textAlignment w:val="center"/>
    </w:pPr>
    <w:rPr>
      <w:rFonts w:ascii="宋体" w:hAnsi="宋体" w:cs="宋体"/>
      <w:kern w:val="0"/>
      <w:sz w:val="20"/>
      <w:szCs w:val="20"/>
    </w:rPr>
  </w:style>
  <w:style w:type="paragraph" w:customStyle="1" w:styleId="105">
    <w:name w:val="xl87"/>
    <w:basedOn w:val="1"/>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4"/>
    </w:rPr>
  </w:style>
  <w:style w:type="paragraph" w:customStyle="1" w:styleId="106">
    <w:name w:val="xl99"/>
    <w:basedOn w:val="1"/>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4"/>
    </w:rPr>
  </w:style>
  <w:style w:type="paragraph" w:customStyle="1" w:styleId="107">
    <w:name w:val="xl85"/>
    <w:basedOn w:val="1"/>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4"/>
    </w:rPr>
  </w:style>
  <w:style w:type="paragraph" w:customStyle="1" w:styleId="108">
    <w:name w:val="xl72"/>
    <w:basedOn w:val="1"/>
    <w:uiPriority w:val="0"/>
    <w:pPr>
      <w:widowControl/>
      <w:shd w:val="clear" w:color="FFFFFF" w:fill="FFFFFF"/>
      <w:spacing w:before="100" w:beforeAutospacing="1" w:after="100" w:afterAutospacing="1"/>
      <w:jc w:val="right"/>
    </w:pPr>
    <w:rPr>
      <w:rFonts w:ascii="宋体" w:hAnsi="宋体" w:cs="宋体"/>
      <w:kern w:val="0"/>
      <w:sz w:val="20"/>
      <w:szCs w:val="20"/>
    </w:rPr>
  </w:style>
  <w:style w:type="paragraph" w:customStyle="1" w:styleId="109">
    <w:name w:val="xl107"/>
    <w:basedOn w:val="1"/>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4"/>
    </w:rPr>
  </w:style>
  <w:style w:type="paragraph" w:customStyle="1" w:styleId="110">
    <w:name w:val="xl11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cs="宋体"/>
      <w:b/>
      <w:bCs/>
      <w:color w:val="000000"/>
      <w:kern w:val="0"/>
      <w:sz w:val="20"/>
      <w:szCs w:val="20"/>
    </w:rPr>
  </w:style>
  <w:style w:type="paragraph" w:customStyle="1" w:styleId="111">
    <w:name w:val="xl80"/>
    <w:basedOn w:val="1"/>
    <w:uiPriority w:val="0"/>
    <w:pPr>
      <w:widowControl/>
      <w:shd w:val="clear" w:color="FFFFFF" w:fill="FFFFFF"/>
      <w:spacing w:before="100" w:beforeAutospacing="1" w:after="100" w:afterAutospacing="1"/>
      <w:jc w:val="right"/>
      <w:textAlignment w:val="top"/>
    </w:pPr>
    <w:rPr>
      <w:rFonts w:ascii="宋体" w:hAnsi="宋体" w:cs="宋体"/>
      <w:kern w:val="0"/>
      <w:sz w:val="24"/>
    </w:rPr>
  </w:style>
  <w:style w:type="paragraph" w:customStyle="1" w:styleId="112">
    <w:name w:val="xl106"/>
    <w:basedOn w:val="1"/>
    <w:uiPriority w:val="0"/>
    <w:pPr>
      <w:widowControl/>
      <w:spacing w:before="100" w:beforeAutospacing="1" w:after="100" w:afterAutospacing="1"/>
      <w:jc w:val="left"/>
    </w:pPr>
    <w:rPr>
      <w:rFonts w:ascii="宋体" w:hAnsi="宋体" w:cs="宋体"/>
      <w:kern w:val="0"/>
      <w:sz w:val="24"/>
    </w:rPr>
  </w:style>
  <w:style w:type="paragraph" w:customStyle="1" w:styleId="113">
    <w:name w:val="xl128"/>
    <w:basedOn w:val="1"/>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4"/>
    </w:rPr>
  </w:style>
  <w:style w:type="paragraph" w:customStyle="1" w:styleId="114">
    <w:name w:val="xl96"/>
    <w:basedOn w:val="1"/>
    <w:uiPriority w:val="0"/>
    <w:pPr>
      <w:widowControl/>
      <w:pBdr>
        <w:top w:val="single" w:color="000000" w:sz="4" w:space="0"/>
        <w:bottom w:val="single" w:color="000000" w:sz="4" w:space="0"/>
        <w:right w:val="single" w:color="000000" w:sz="4" w:space="0"/>
      </w:pBdr>
      <w:spacing w:before="100" w:beforeAutospacing="1" w:after="100" w:afterAutospacing="1"/>
      <w:jc w:val="center"/>
    </w:pPr>
    <w:rPr>
      <w:rFonts w:ascii="宋体" w:hAnsi="宋体" w:cs="宋体"/>
      <w:b/>
      <w:bCs/>
      <w:color w:val="000000"/>
      <w:kern w:val="0"/>
      <w:sz w:val="20"/>
      <w:szCs w:val="20"/>
    </w:rPr>
  </w:style>
  <w:style w:type="paragraph" w:customStyle="1" w:styleId="115">
    <w:name w:val="xl97"/>
    <w:basedOn w:val="1"/>
    <w:uiPriority w:val="0"/>
    <w:pPr>
      <w:widowControl/>
      <w:spacing w:before="100" w:beforeAutospacing="1" w:after="100" w:afterAutospacing="1"/>
      <w:jc w:val="left"/>
    </w:pPr>
    <w:rPr>
      <w:rFonts w:ascii="宋体" w:hAnsi="宋体" w:cs="宋体"/>
      <w:b/>
      <w:bCs/>
      <w:color w:val="000000"/>
      <w:kern w:val="0"/>
      <w:sz w:val="20"/>
      <w:szCs w:val="20"/>
    </w:rPr>
  </w:style>
  <w:style w:type="paragraph" w:customStyle="1" w:styleId="116">
    <w:name w:val="xl102"/>
    <w:basedOn w:val="1"/>
    <w:uiPriority w:val="0"/>
    <w:pPr>
      <w:widowControl/>
      <w:spacing w:before="100" w:beforeAutospacing="1" w:after="100" w:afterAutospacing="1"/>
      <w:jc w:val="left"/>
    </w:pPr>
    <w:rPr>
      <w:rFonts w:ascii="宋体" w:hAnsi="宋体" w:cs="宋体"/>
      <w:b/>
      <w:bCs/>
      <w:kern w:val="0"/>
      <w:sz w:val="32"/>
      <w:szCs w:val="32"/>
    </w:rPr>
  </w:style>
  <w:style w:type="paragraph" w:customStyle="1" w:styleId="117">
    <w:name w:val="xl112"/>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18">
    <w:name w:val="xl10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119">
    <w:name w:val="xl89"/>
    <w:basedOn w:val="1"/>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120">
    <w:name w:val="xl95"/>
    <w:basedOn w:val="1"/>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121">
    <w:name w:val="xl9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0"/>
      <w:szCs w:val="20"/>
    </w:rPr>
  </w:style>
  <w:style w:type="paragraph" w:customStyle="1" w:styleId="122">
    <w:name w:val="xl113"/>
    <w:basedOn w:val="1"/>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right"/>
    </w:pPr>
    <w:rPr>
      <w:rFonts w:ascii="宋体" w:hAnsi="宋体" w:cs="宋体"/>
      <w:b/>
      <w:bCs/>
      <w:color w:val="000000"/>
      <w:kern w:val="0"/>
      <w:sz w:val="24"/>
    </w:rPr>
  </w:style>
  <w:style w:type="paragraph" w:customStyle="1" w:styleId="123">
    <w:name w:val="xl114"/>
    <w:basedOn w:val="1"/>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right"/>
    </w:pPr>
    <w:rPr>
      <w:rFonts w:ascii="宋体" w:hAnsi="宋体" w:cs="宋体"/>
      <w:color w:val="000000"/>
      <w:kern w:val="0"/>
      <w:sz w:val="24"/>
    </w:rPr>
  </w:style>
  <w:style w:type="paragraph" w:customStyle="1" w:styleId="124">
    <w:name w:val="xl11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cs="宋体"/>
      <w:kern w:val="0"/>
      <w:sz w:val="24"/>
    </w:rPr>
  </w:style>
  <w:style w:type="paragraph" w:customStyle="1" w:styleId="125">
    <w:name w:val="xl12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cs="宋体"/>
      <w:b/>
      <w:bCs/>
      <w:kern w:val="0"/>
      <w:sz w:val="24"/>
    </w:rPr>
  </w:style>
  <w:style w:type="paragraph" w:customStyle="1" w:styleId="126">
    <w:name w:val="xl125"/>
    <w:basedOn w:val="1"/>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127">
    <w:name w:val="xl126"/>
    <w:basedOn w:val="1"/>
    <w:uiPriority w:val="0"/>
    <w:pPr>
      <w:widowControl/>
      <w:spacing w:before="100" w:beforeAutospacing="1" w:after="100" w:afterAutospacing="1"/>
      <w:jc w:val="center"/>
    </w:pPr>
    <w:rPr>
      <w:rFonts w:ascii="宋体" w:hAnsi="宋体" w:cs="宋体"/>
      <w:b/>
      <w:bCs/>
      <w:kern w:val="0"/>
      <w:sz w:val="32"/>
      <w:szCs w:val="32"/>
    </w:rPr>
  </w:style>
  <w:style w:type="paragraph" w:customStyle="1" w:styleId="128">
    <w:name w:val="xl130"/>
    <w:basedOn w:val="1"/>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table" w:customStyle="1" w:styleId="129">
    <w:name w:val="网格型1"/>
    <w:basedOn w:val="15"/>
    <w:uiPriority w:val="0"/>
    <w:rPr>
      <w:rFonts w:ascii="Calibri" w:hAnsi="Calibri"/>
    </w:rPr>
    <w:tblPr>
      <w:tblStyle w:val="15"/>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广西移动</Company>
  <Pages>70</Pages>
  <Words>43392</Words>
  <Characters>44579</Characters>
  <Lines>408</Lines>
  <Paragraphs>114</Paragraphs>
  <TotalTime>6</TotalTime>
  <ScaleCrop>false</ScaleCrop>
  <LinksUpToDate>false</LinksUpToDate>
  <CharactersWithSpaces>53886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2019-05-08T03:48:00Z</dcterms:created>
  <dc:creator>李家庆</dc:creator>
  <cp:lastModifiedBy>东北孤虎</cp:lastModifiedBy>
  <cp:lastPrinted>2023-06-09T08:15:50Z</cp:lastPrinted>
  <dcterms:modified xsi:type="dcterms:W3CDTF">2023-06-21T09:07:10Z</dcterms:modified>
  <dc:title>招  标  文  件</dc:title>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5EF06B3B066A45318D894D404FCAF809_13</vt:lpwstr>
  </property>
</Properties>
</file>