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样板段精装修工程</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u w:val="single"/>
        </w:rPr>
        <w:t xml:space="preserve">公开采购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样板段精装修工程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142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color w:val="auto"/>
          <w:kern w:val="0"/>
          <w:sz w:val="24"/>
          <w:szCs w:val="24"/>
          <w:lang w:val="en-US" w:eastAsia="zh-CN"/>
        </w:rPr>
        <w:t>控制价为</w:t>
      </w:r>
      <w:r>
        <w:rPr>
          <w:rFonts w:hint="eastAsia" w:ascii="仿宋_GB2312" w:hAnsi="仿宋_GB2312" w:eastAsia="仿宋_GB2312" w:cs="仿宋_GB2312"/>
          <w:b/>
          <w:bCs/>
          <w:color w:val="auto"/>
          <w:kern w:val="0"/>
          <w:sz w:val="24"/>
          <w:szCs w:val="24"/>
          <w:u w:val="single"/>
          <w:lang w:val="en-US" w:eastAsia="zh-CN"/>
        </w:rPr>
        <w:t>¥755,287.96</w:t>
      </w:r>
      <w:r>
        <w:rPr>
          <w:rFonts w:hint="eastAsia" w:ascii="仿宋_GB2312" w:hAnsi="仿宋_GB2312" w:eastAsia="仿宋_GB2312" w:cs="仿宋_GB2312"/>
          <w:b/>
          <w:bCs/>
          <w:color w:val="auto"/>
          <w:kern w:val="0"/>
          <w:sz w:val="24"/>
          <w:szCs w:val="24"/>
          <w:lang w:val="en-US" w:eastAsia="zh-CN"/>
        </w:rPr>
        <w:t>元</w:t>
      </w:r>
      <w:r>
        <w:rPr>
          <w:rFonts w:hint="eastAsia" w:ascii="仿宋_GB2312" w:hAnsi="仿宋_GB2312" w:eastAsia="仿宋_GB2312" w:cs="仿宋_GB2312"/>
          <w:color w:val="auto"/>
          <w:kern w:val="0"/>
          <w:sz w:val="24"/>
          <w:szCs w:val="24"/>
          <w:lang w:val="en-US" w:eastAsia="zh-CN"/>
        </w:rPr>
        <w:t>（含税9%），（大写）</w:t>
      </w:r>
      <w:r>
        <w:rPr>
          <w:rFonts w:hint="eastAsia" w:ascii="仿宋_GB2312" w:hAnsi="仿宋_GB2312" w:eastAsia="仿宋_GB2312" w:cs="仿宋_GB2312"/>
          <w:color w:val="auto"/>
          <w:kern w:val="0"/>
          <w:sz w:val="24"/>
          <w:szCs w:val="24"/>
          <w:u w:val="single"/>
          <w:lang w:val="en-US" w:eastAsia="zh-CN"/>
        </w:rPr>
        <w:t>柒拾伍万伍仟贰佰捌拾柒元玖角陆分；</w:t>
      </w:r>
      <w:r>
        <w:rPr>
          <w:rFonts w:hint="eastAsia" w:ascii="仿宋_GB2312" w:hAnsi="仿宋_GB2312" w:eastAsia="仿宋_GB2312" w:cs="仿宋_GB2312"/>
          <w:color w:val="auto"/>
          <w:sz w:val="24"/>
          <w:szCs w:val="24"/>
          <w:lang w:val="en-US" w:eastAsia="zh-CN"/>
        </w:rPr>
        <w:t>参考《2022年东莞市房屋建筑和市政基础设施工程施工公开招标投标中标价情况分析》装饰工程-其他下浮率，</w:t>
      </w:r>
      <w:r>
        <w:rPr>
          <w:rFonts w:hint="eastAsia" w:ascii="仿宋_GB2312" w:hAnsi="仿宋_GB2312" w:eastAsia="仿宋_GB2312" w:cs="仿宋_GB2312"/>
          <w:color w:val="auto"/>
          <w:kern w:val="0"/>
          <w:sz w:val="24"/>
          <w:szCs w:val="24"/>
          <w:u w:val="none"/>
          <w:lang w:val="en-US" w:eastAsia="zh-CN"/>
        </w:rPr>
        <w:t>本项目采购限价下浮率为</w:t>
      </w:r>
      <w:r>
        <w:rPr>
          <w:rFonts w:hint="eastAsia" w:ascii="仿宋_GB2312" w:hAnsi="仿宋_GB2312" w:eastAsia="仿宋_GB2312" w:cs="仿宋_GB2312"/>
          <w:color w:val="auto"/>
          <w:kern w:val="0"/>
          <w:sz w:val="24"/>
          <w:szCs w:val="24"/>
          <w:highlight w:val="none"/>
          <w:u w:val="single"/>
          <w:lang w:val="en-US" w:eastAsia="zh-CN"/>
        </w:rPr>
        <w:t xml:space="preserve">6.48 </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none"/>
          <w:lang w:val="en-US" w:eastAsia="zh-CN"/>
        </w:rPr>
        <w:t>，即</w:t>
      </w:r>
      <w:r>
        <w:rPr>
          <w:rFonts w:hint="eastAsia" w:ascii="仿宋_GB2312" w:hAnsi="仿宋_GB2312" w:eastAsia="仿宋_GB2312" w:cs="仿宋_GB2312"/>
          <w:b/>
          <w:bCs/>
          <w:color w:val="auto"/>
          <w:kern w:val="0"/>
          <w:sz w:val="24"/>
          <w:szCs w:val="24"/>
          <w:u w:val="none"/>
          <w:lang w:val="en-US" w:eastAsia="zh-CN"/>
        </w:rPr>
        <w:t>采购限价</w:t>
      </w:r>
      <w:r>
        <w:rPr>
          <w:rFonts w:hint="eastAsia" w:ascii="仿宋_GB2312" w:hAnsi="仿宋_GB2312" w:eastAsia="仿宋_GB2312" w:cs="仿宋_GB2312"/>
          <w:b/>
          <w:bCs/>
          <w:color w:val="auto"/>
          <w:kern w:val="0"/>
          <w:sz w:val="24"/>
          <w:szCs w:val="24"/>
          <w:lang w:val="en-US" w:eastAsia="zh-CN"/>
        </w:rPr>
        <w:t>为</w:t>
      </w:r>
      <w:r>
        <w:rPr>
          <w:rFonts w:hint="eastAsia" w:ascii="仿宋_GB2312" w:hAnsi="仿宋_GB2312" w:eastAsia="仿宋_GB2312" w:cs="仿宋_GB2312"/>
          <w:b/>
          <w:bCs/>
          <w:color w:val="auto"/>
          <w:kern w:val="0"/>
          <w:sz w:val="24"/>
          <w:szCs w:val="24"/>
          <w:u w:val="single"/>
          <w:lang w:val="en-US" w:eastAsia="zh-CN"/>
        </w:rPr>
        <w:t>¥706,345.30</w:t>
      </w:r>
      <w:r>
        <w:rPr>
          <w:rFonts w:hint="eastAsia" w:ascii="仿宋_GB2312" w:hAnsi="仿宋_GB2312" w:eastAsia="仿宋_GB2312" w:cs="仿宋_GB2312"/>
          <w:b/>
          <w:bCs/>
          <w:color w:val="auto"/>
          <w:kern w:val="0"/>
          <w:sz w:val="24"/>
          <w:szCs w:val="24"/>
          <w:lang w:eastAsia="zh-CN"/>
        </w:rPr>
        <w:t>（</w:t>
      </w:r>
      <w:r>
        <w:rPr>
          <w:rFonts w:hint="eastAsia" w:ascii="仿宋_GB2312" w:hAnsi="仿宋_GB2312" w:eastAsia="仿宋_GB2312" w:cs="仿宋_GB2312"/>
          <w:b/>
          <w:bCs/>
          <w:color w:val="auto"/>
          <w:kern w:val="0"/>
          <w:sz w:val="24"/>
          <w:szCs w:val="24"/>
          <w:lang w:val="en-US" w:eastAsia="zh-CN"/>
        </w:rPr>
        <w:t>含税9%</w:t>
      </w:r>
      <w:r>
        <w:rPr>
          <w:rFonts w:hint="eastAsia" w:ascii="仿宋_GB2312" w:hAnsi="仿宋_GB2312" w:eastAsia="仿宋_GB2312" w:cs="仿宋_GB2312"/>
          <w:b/>
          <w:bCs/>
          <w:color w:val="auto"/>
          <w:kern w:val="0"/>
          <w:sz w:val="24"/>
          <w:szCs w:val="24"/>
          <w:lang w:eastAsia="zh-CN"/>
        </w:rPr>
        <w:t>）</w:t>
      </w:r>
      <w:r>
        <w:rPr>
          <w:rFonts w:hint="eastAsia" w:ascii="仿宋_GB2312" w:hAnsi="仿宋_GB2312" w:eastAsia="仿宋_GB2312" w:cs="仿宋_GB2312"/>
          <w:b/>
          <w:bCs/>
          <w:color w:val="auto"/>
          <w:kern w:val="0"/>
          <w:sz w:val="24"/>
          <w:szCs w:val="24"/>
          <w:lang w:val="en-US" w:eastAsia="zh-CN"/>
        </w:rPr>
        <w:t>元</w:t>
      </w:r>
      <w:r>
        <w:rPr>
          <w:rFonts w:hint="eastAsia" w:ascii="仿宋_GB2312" w:hAnsi="仿宋_GB2312" w:eastAsia="仿宋_GB2312" w:cs="仿宋_GB2312"/>
          <w:color w:val="auto"/>
          <w:kern w:val="0"/>
          <w:sz w:val="24"/>
          <w:szCs w:val="24"/>
          <w:lang w:val="en-US" w:eastAsia="zh-CN"/>
        </w:rPr>
        <w:t>，（大写）</w:t>
      </w:r>
      <w:r>
        <w:rPr>
          <w:rFonts w:hint="eastAsia" w:ascii="仿宋_GB2312" w:hAnsi="仿宋_GB2312" w:eastAsia="仿宋_GB2312" w:cs="仿宋_GB2312"/>
          <w:color w:val="auto"/>
          <w:kern w:val="0"/>
          <w:sz w:val="24"/>
          <w:szCs w:val="24"/>
          <w:highlight w:val="none"/>
          <w:u w:val="single"/>
          <w:lang w:val="en-US" w:eastAsia="zh-CN"/>
        </w:rPr>
        <w:t>柒拾万零陆仟叁佰肆拾伍元叁角整</w:t>
      </w:r>
      <w:r>
        <w:rPr>
          <w:rFonts w:hint="eastAsia" w:ascii="仿宋_GB2312" w:hAnsi="仿宋_GB2312" w:eastAsia="仿宋_GB2312" w:cs="仿宋_GB2312"/>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u w:val="none"/>
          <w:lang w:val="en-US" w:eastAsia="zh-CN"/>
        </w:rPr>
        <w:t>其中不含税工程价款为：（小写）</w:t>
      </w:r>
      <w:r>
        <w:rPr>
          <w:rFonts w:hint="eastAsia" w:ascii="仿宋_GB2312" w:hAnsi="仿宋_GB2312" w:eastAsia="仿宋_GB2312" w:cs="仿宋_GB2312"/>
          <w:color w:val="auto"/>
          <w:kern w:val="0"/>
          <w:sz w:val="24"/>
          <w:szCs w:val="24"/>
          <w:u w:val="single"/>
          <w:lang w:val="en-US" w:eastAsia="zh-CN"/>
        </w:rPr>
        <w:t xml:space="preserve">¥648,023.21 </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kern w:val="0"/>
          <w:sz w:val="24"/>
          <w:szCs w:val="24"/>
          <w:u w:val="single"/>
          <w:lang w:val="en-US" w:eastAsia="zh-CN"/>
        </w:rPr>
        <w:t>（大写）陆拾肆万捌仟零贰拾叁元贰角壹分；</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税金：（小写）</w:t>
      </w:r>
      <w:r>
        <w:rPr>
          <w:rFonts w:hint="eastAsia" w:ascii="仿宋_GB2312" w:hAnsi="仿宋_GB2312" w:eastAsia="仿宋_GB2312" w:cs="仿宋_GB2312"/>
          <w:color w:val="auto"/>
          <w:kern w:val="0"/>
          <w:sz w:val="24"/>
          <w:szCs w:val="24"/>
          <w:u w:val="single"/>
          <w:lang w:val="en-US" w:eastAsia="zh-CN"/>
        </w:rPr>
        <w:t>¥58,322.09</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single"/>
          <w:lang w:val="en-US" w:eastAsia="zh-CN"/>
        </w:rPr>
        <w:t>（大写）伍万捌仟叁佰贰拾贰元零玖分</w:t>
      </w:r>
      <w:r>
        <w:rPr>
          <w:rFonts w:hint="eastAsia" w:ascii="仿宋_GB2312" w:hAnsi="仿宋_GB2312" w:eastAsia="仿宋_GB2312" w:cs="仿宋_GB2312"/>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华文仿宋" w:hAnsi="华文仿宋" w:eastAsia="华文仿宋" w:cs="华文仿宋"/>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numPr>
          <w:ilvl w:val="0"/>
          <w:numId w:val="0"/>
        </w:numPr>
        <w:tabs>
          <w:tab w:val="left" w:pos="7560"/>
        </w:tabs>
        <w:spacing w:line="360" w:lineRule="auto"/>
        <w:ind w:leftChars="0"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东莞市民服务中心三期-装饰装修工程按采购图纸及工程量清单所含内容，包括：卫生间、母婴室、走道及其外廊（二层17~27轴交F~1/L轴）的楼地面装饰工程、墙柱面装饰、天棚工程、油漆、涂料及裱糊工程、其他装饰工程、精装水电工程、安全文明施工、维修、现场清理、成品保护等与相关的所有工作，详见分部分项工程量清单及施工图纸。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1.装饰装修工程包括：</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1.1装饰工程：地面铺装、天棚吊顶、墙面装饰、水电安装、卫洁具和灯具安装；</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1.2电气部分（户内配电箱出线至末端的配电工程）：照明部分均由入户箱接至室内，室内的普通照明灯具以及开关插座（不含应急照明部分、不含触控面板的部分）；给排水部分：</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1.3给排水均由立管的接驳口至室内部分，排水、污水、废水部分由室内接至总包水电预留的接口处。</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kern w:val="0"/>
          <w:sz w:val="24"/>
          <w:szCs w:val="24"/>
          <w:lang w:val="en-US" w:eastAsia="zh-CN"/>
        </w:rPr>
        <w:t>安全文明施工项目包括不限于：施工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szCs w:val="24"/>
          <w:lang w:val="en-US" w:eastAsia="zh-CN"/>
        </w:rPr>
        <w:t>资料：包括不限于质检及安检等资料的编制及报送、技术支持及相关方案编制、专家送审等、协助项目部对外业务管理协调等。</w:t>
      </w:r>
    </w:p>
    <w:p>
      <w:pPr>
        <w:numPr>
          <w:ilvl w:val="0"/>
          <w:numId w:val="0"/>
        </w:numPr>
        <w:tabs>
          <w:tab w:val="left" w:pos="7560"/>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七、其他及特别内容说明</w:t>
      </w:r>
      <w:r>
        <w:rPr>
          <w:rFonts w:hint="eastAsia" w:ascii="仿宋_GB2312" w:hAnsi="仿宋_GB2312" w:eastAsia="仿宋_GB2312" w:cs="仿宋_GB2312"/>
          <w:sz w:val="24"/>
          <w:szCs w:val="24"/>
          <w:lang w:val="en-US" w:eastAsia="zh-CN"/>
        </w:rPr>
        <w:t>：</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1.与其他专业分包的界面划分及特别内容说明：</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1.1通向卫生间通道的楼地面、天棚装饰为精装修施工界面；</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1.2卫生间地面找平为简装范围，找平及以上工序为精装范围；</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1.3电梯厅、卫生间及其通道墙面抹灰为简装范围，抹灰层以上工序为精装施工界面；</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1.4总包电气预留商铺总箱（含箱体），箱后由精装单位负责施工；</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1.5给水：总包水电做至卫生间入口处阀门（含阀门），阀后由精装单位施工；</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1.6排水：总包水电做至立管三通口，卫生间支管、洁具由精装单位施工。</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szCs w:val="24"/>
          <w:highlight w:val="none"/>
          <w:lang w:val="en-US" w:eastAsia="zh-CN"/>
        </w:rPr>
        <w:t>卫生间</w:t>
      </w:r>
      <w:r>
        <w:rPr>
          <w:rFonts w:hint="eastAsia" w:ascii="仿宋_GB2312" w:hAnsi="仿宋_GB2312" w:eastAsia="仿宋_GB2312" w:cs="仿宋_GB2312"/>
          <w:sz w:val="24"/>
          <w:szCs w:val="24"/>
          <w:highlight w:val="none"/>
          <w:lang w:val="en-US" w:eastAsia="zh-CN"/>
        </w:rPr>
        <w:t>部分：天花吊顶（灯具安装（含开孔定位）、喷淋开孔定位、空调百叶安装等）；墙面装饰（卫洁具安装定位、插座面板安装、装饰板安装、隔断安装、墙面防水、马桶、蹲便器等安装）；</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地面铺装（二次水电安装、地漏安装等）共性界面：二次水电部分安装包含管线的预埋封堵、孔洞的防水封堵。卫生间沉箱找平层以上包含回填、二次防水。与幕墙交界处收边收口。与景观交界处收边收口，室内室外以门槛石分界线（含门槛石施工）。</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1.9含石材、瓷砖、铝板、格栅等排版图深化设计、加工图深化设计。</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1.10</w:t>
      </w:r>
      <w:r>
        <w:rPr>
          <w:rFonts w:hint="eastAsia" w:ascii="仿宋_GB2312" w:hAnsi="仿宋_GB2312" w:eastAsia="仿宋_GB2312" w:cs="仿宋_GB2312"/>
          <w:color w:val="auto"/>
          <w:sz w:val="24"/>
          <w:highlight w:val="none"/>
          <w:lang w:val="en-US" w:eastAsia="zh-CN"/>
        </w:rPr>
        <w:t>其他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sz w:val="24"/>
          <w:szCs w:val="24"/>
          <w:highlight w:val="none"/>
          <w:lang w:val="en-US" w:eastAsia="zh-CN"/>
        </w:rPr>
        <w:t>区部分：公共走道天花吊顶（灯具安装（含开孔定位）、喷淋开孔定位、空调百叶安装等），综合天花排版定位放线；墙面装饰（装饰板安装、插座面板安装等）；地面铺装（消防应急灯定位开孔）；包含机电装饰面层等定位放线内容；一米线、标高线、灯具定位线、面板定位线等附着装饰面板的定位放线；扶梯的装饰。</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1.11与简装交接处界限（门位置以门槛石为界（含门槛石安装）；与商铺交接处（以隔断为界线（门处含门槛石施工收边收口）；电梯门交接处（门槛石施工（含空洞位置的镀锌钢板封堵后铺贴）；含变形缝面层的装饰。装饰板所有涉及面板（含机电面板）的定位开孔；二次水电（电以电箱下端出线归装修、水以一次水阀为界）具体详见施工图包含的所有内容，不详之处由投标单位提出答疑进行解答。由采购人复核其他专业招采是否包含。</w:t>
      </w:r>
    </w:p>
    <w:p>
      <w:pPr>
        <w:numPr>
          <w:ilvl w:val="0"/>
          <w:numId w:val="0"/>
        </w:numPr>
        <w:tabs>
          <w:tab w:val="left" w:pos="7560"/>
        </w:tabs>
        <w:spacing w:line="360" w:lineRule="auto"/>
        <w:ind w:leftChars="0" w:firstLine="480" w:firstLineChars="200"/>
        <w:jc w:val="lef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rPr>
        <w:t>本工程承包人提供的主材</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szCs w:val="24"/>
          <w:lang w:val="en-US" w:eastAsia="zh-CN"/>
        </w:rPr>
        <w:t>洁具、PC砖</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sz w:val="24"/>
        </w:rPr>
        <w:t>进入施工工地时，</w:t>
      </w:r>
      <w:r>
        <w:rPr>
          <w:rFonts w:hint="eastAsia" w:ascii="仿宋_GB2312" w:hAnsi="仿宋_GB2312" w:eastAsia="仿宋_GB2312" w:cs="仿宋_GB2312"/>
          <w:sz w:val="24"/>
          <w:lang w:eastAsia="zh-CN"/>
        </w:rPr>
        <w:t>分包单位</w:t>
      </w:r>
      <w:r>
        <w:rPr>
          <w:rFonts w:hint="eastAsia" w:ascii="仿宋_GB2312" w:hAnsi="仿宋_GB2312" w:eastAsia="仿宋_GB2312" w:cs="仿宋_GB2312"/>
          <w:sz w:val="24"/>
        </w:rPr>
        <w:t>应派人配合</w:t>
      </w:r>
      <w:r>
        <w:rPr>
          <w:rFonts w:hint="eastAsia" w:ascii="仿宋_GB2312" w:hAnsi="仿宋_GB2312" w:eastAsia="仿宋_GB2312" w:cs="仿宋_GB2312"/>
          <w:sz w:val="24"/>
          <w:lang w:eastAsia="zh-CN"/>
        </w:rPr>
        <w:t>发</w:t>
      </w:r>
      <w:r>
        <w:rPr>
          <w:rFonts w:hint="eastAsia" w:ascii="仿宋_GB2312" w:hAnsi="仿宋_GB2312" w:eastAsia="仿宋_GB2312" w:cs="仿宋_GB2312"/>
          <w:sz w:val="24"/>
        </w:rPr>
        <w:t>包人进行主材验收，主材进场验收之后</w:t>
      </w:r>
      <w:r>
        <w:rPr>
          <w:rFonts w:hint="eastAsia" w:ascii="仿宋_GB2312" w:hAnsi="仿宋_GB2312" w:eastAsia="仿宋_GB2312" w:cs="仿宋_GB2312"/>
          <w:sz w:val="24"/>
          <w:lang w:eastAsia="zh-CN"/>
        </w:rPr>
        <w:t>分包单位</w:t>
      </w:r>
      <w:r>
        <w:rPr>
          <w:rFonts w:hint="eastAsia" w:ascii="仿宋_GB2312" w:hAnsi="仿宋_GB2312" w:eastAsia="仿宋_GB2312" w:cs="仿宋_GB2312"/>
          <w:sz w:val="24"/>
        </w:rPr>
        <w:t>承担保管责任。</w:t>
      </w:r>
      <w:r>
        <w:rPr>
          <w:rFonts w:hint="eastAsia" w:ascii="仿宋_GB2312" w:hAnsi="仿宋_GB2312" w:eastAsia="仿宋_GB2312" w:cs="仿宋_GB2312"/>
          <w:sz w:val="24"/>
          <w:lang w:eastAsia="zh-CN"/>
        </w:rPr>
        <w:t>分包单位</w:t>
      </w:r>
      <w:r>
        <w:rPr>
          <w:rFonts w:hint="eastAsia" w:ascii="仿宋_GB2312" w:hAnsi="仿宋_GB2312" w:eastAsia="仿宋_GB2312" w:cs="仿宋_GB2312"/>
          <w:sz w:val="24"/>
        </w:rPr>
        <w:t>按施工图纸、规范、标准合理地进行配料和施工，严禁偷工减料和浪费材料，</w:t>
      </w:r>
      <w:r>
        <w:rPr>
          <w:rFonts w:hint="eastAsia" w:ascii="仿宋_GB2312" w:hAnsi="仿宋_GB2312" w:eastAsia="仿宋_GB2312" w:cs="仿宋_GB2312"/>
          <w:sz w:val="24"/>
          <w:lang w:val="en-US" w:eastAsia="zh-CN"/>
        </w:rPr>
        <w:t>材料</w:t>
      </w:r>
      <w:r>
        <w:rPr>
          <w:rFonts w:hint="eastAsia" w:ascii="仿宋_GB2312" w:hAnsi="仿宋_GB2312" w:eastAsia="仿宋_GB2312" w:cs="仿宋_GB2312"/>
          <w:sz w:val="24"/>
          <w:lang w:eastAsia="zh-CN"/>
        </w:rPr>
        <w:t>损耗率不应高于定额损耗率</w:t>
      </w:r>
      <w:r>
        <w:rPr>
          <w:rFonts w:hint="eastAsia" w:ascii="仿宋_GB2312" w:hAnsi="仿宋_GB2312" w:eastAsia="仿宋_GB2312" w:cs="仿宋_GB2312"/>
          <w:sz w:val="24"/>
        </w:rPr>
        <w:t xml:space="preserve"> ，未满足</w:t>
      </w:r>
      <w:r>
        <w:rPr>
          <w:rFonts w:hint="eastAsia" w:ascii="仿宋_GB2312" w:hAnsi="仿宋_GB2312" w:eastAsia="仿宋_GB2312" w:cs="仿宋_GB2312"/>
          <w:sz w:val="24"/>
          <w:lang w:eastAsia="zh-CN"/>
        </w:rPr>
        <w:t>上述</w:t>
      </w:r>
      <w:r>
        <w:rPr>
          <w:rFonts w:hint="eastAsia" w:ascii="仿宋_GB2312" w:hAnsi="仿宋_GB2312" w:eastAsia="仿宋_GB2312" w:cs="仿宋_GB2312"/>
          <w:sz w:val="24"/>
        </w:rPr>
        <w:t>要求，则</w:t>
      </w:r>
      <w:r>
        <w:rPr>
          <w:rFonts w:hint="eastAsia" w:ascii="仿宋_GB2312" w:hAnsi="仿宋_GB2312" w:eastAsia="仿宋_GB2312" w:cs="仿宋_GB2312"/>
          <w:sz w:val="24"/>
          <w:lang w:eastAsia="zh-CN"/>
        </w:rPr>
        <w:t>超出损耗</w:t>
      </w:r>
      <w:r>
        <w:rPr>
          <w:rFonts w:hint="eastAsia" w:ascii="仿宋_GB2312" w:hAnsi="仿宋_GB2312" w:eastAsia="仿宋_GB2312" w:cs="仿宋_GB2312"/>
          <w:sz w:val="24"/>
        </w:rPr>
        <w:t>部分按</w:t>
      </w:r>
      <w:r>
        <w:rPr>
          <w:rFonts w:hint="eastAsia" w:ascii="仿宋_GB2312" w:hAnsi="仿宋_GB2312" w:eastAsia="仿宋_GB2312" w:cs="仿宋_GB2312"/>
          <w:sz w:val="24"/>
          <w:lang w:eastAsia="zh-CN"/>
        </w:rPr>
        <w:t>发</w:t>
      </w:r>
      <w:r>
        <w:rPr>
          <w:rFonts w:hint="eastAsia" w:ascii="仿宋_GB2312" w:hAnsi="仿宋_GB2312" w:eastAsia="仿宋_GB2312" w:cs="仿宋_GB2312"/>
          <w:sz w:val="24"/>
        </w:rPr>
        <w:t>包人采购单价*120%从</w:t>
      </w:r>
      <w:r>
        <w:rPr>
          <w:rFonts w:hint="eastAsia" w:ascii="仿宋_GB2312" w:hAnsi="仿宋_GB2312" w:eastAsia="仿宋_GB2312" w:cs="仿宋_GB2312"/>
          <w:sz w:val="24"/>
          <w:lang w:eastAsia="zh-CN"/>
        </w:rPr>
        <w:t>分包单位</w:t>
      </w:r>
      <w:r>
        <w:rPr>
          <w:rFonts w:hint="eastAsia" w:ascii="仿宋_GB2312" w:hAnsi="仿宋_GB2312" w:eastAsia="仿宋_GB2312" w:cs="仿宋_GB2312"/>
          <w:sz w:val="24"/>
        </w:rPr>
        <w:t>产值中扣除。处罚费用承包人在支付</w:t>
      </w:r>
      <w:r>
        <w:rPr>
          <w:rFonts w:hint="eastAsia" w:ascii="仿宋_GB2312" w:hAnsi="仿宋_GB2312" w:eastAsia="仿宋_GB2312" w:cs="仿宋_GB2312"/>
          <w:sz w:val="24"/>
          <w:lang w:eastAsia="zh-CN"/>
        </w:rPr>
        <w:t>分包单位</w:t>
      </w:r>
      <w:r>
        <w:rPr>
          <w:rFonts w:hint="eastAsia" w:ascii="仿宋_GB2312" w:hAnsi="仿宋_GB2312" w:eastAsia="仿宋_GB2312" w:cs="仿宋_GB2312"/>
          <w:sz w:val="24"/>
        </w:rPr>
        <w:t>进度款时或结算支付时扣除。</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highlight w:val="lightGray"/>
          <w:lang w:eastAsia="zh-CN"/>
        </w:rPr>
      </w:pPr>
      <w:r>
        <w:rPr>
          <w:rFonts w:hint="eastAsia" w:ascii="仿宋_GB2312" w:hAnsi="仿宋_GB2312" w:eastAsia="仿宋_GB2312" w:cs="仿宋_GB2312"/>
          <w:color w:val="auto"/>
          <w:kern w:val="0"/>
          <w:sz w:val="24"/>
          <w:szCs w:val="24"/>
          <w:highlight w:val="none"/>
        </w:rPr>
        <w:t>包工</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包辅材</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包小型机械设备（</w:t>
      </w:r>
      <w:r>
        <w:rPr>
          <w:rFonts w:hint="eastAsia" w:ascii="仿宋_GB2312" w:hAnsi="仿宋_GB2312" w:eastAsia="仿宋_GB2312" w:cs="仿宋_GB2312"/>
          <w:color w:val="auto"/>
          <w:kern w:val="0"/>
          <w:sz w:val="24"/>
          <w:szCs w:val="24"/>
          <w:highlight w:val="none"/>
          <w:lang w:val="en-US" w:eastAsia="zh-CN"/>
        </w:rPr>
        <w:t>采购</w:t>
      </w:r>
      <w:r>
        <w:rPr>
          <w:rFonts w:hint="eastAsia" w:ascii="仿宋_GB2312" w:hAnsi="仿宋_GB2312" w:eastAsia="仿宋_GB2312" w:cs="仿宋_GB2312"/>
          <w:color w:val="auto"/>
          <w:kern w:val="0"/>
          <w:sz w:val="24"/>
          <w:szCs w:val="24"/>
          <w:highlight w:val="none"/>
        </w:rPr>
        <w:t>人提供的设备除外）、包小型机械设备操作用工、包施工用水电设备</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水电</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随工程进度款1%计取</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、包保险费用、包税金、包工期、包质量、包安全生产、包现场文明施工、包</w:t>
      </w:r>
      <w:r>
        <w:rPr>
          <w:rFonts w:hint="eastAsia" w:ascii="仿宋_GB2312" w:hAnsi="仿宋_GB2312" w:eastAsia="仿宋_GB2312" w:cs="仿宋_GB2312"/>
          <w:color w:val="auto"/>
          <w:kern w:val="0"/>
          <w:sz w:val="24"/>
          <w:szCs w:val="24"/>
          <w:highlight w:val="none"/>
          <w:lang w:val="en-US" w:eastAsia="zh-CN"/>
        </w:rPr>
        <w:t>制安</w:t>
      </w:r>
      <w:r>
        <w:rPr>
          <w:rFonts w:hint="eastAsia" w:ascii="仿宋_GB2312" w:hAnsi="仿宋_GB2312" w:eastAsia="仿宋_GB2312" w:cs="仿宋_GB2312"/>
          <w:color w:val="auto"/>
          <w:kern w:val="0"/>
          <w:sz w:val="24"/>
          <w:szCs w:val="24"/>
          <w:highlight w:val="none"/>
        </w:rPr>
        <w:t>、包验收、包签证、包结算、包风险、包与其他分包单位的配合等。</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 xml:space="preserve">竣工日期： </w:t>
      </w:r>
      <w:r>
        <w:rPr>
          <w:rFonts w:hint="eastAsia" w:ascii="仿宋_GB2312" w:hAnsi="仿宋_GB2312" w:eastAsia="仿宋_GB2312" w:cs="仿宋_GB2312"/>
          <w:color w:val="auto"/>
          <w:kern w:val="0"/>
          <w:sz w:val="24"/>
          <w:szCs w:val="24"/>
          <w:highlight w:val="none"/>
          <w:u w:val="single"/>
        </w:rPr>
        <w:t>2023年</w:t>
      </w:r>
      <w:r>
        <w:rPr>
          <w:rFonts w:hint="eastAsia" w:ascii="仿宋_GB2312" w:hAnsi="仿宋_GB2312" w:eastAsia="仿宋_GB2312" w:cs="仿宋_GB2312"/>
          <w:color w:val="auto"/>
          <w:kern w:val="0"/>
          <w:sz w:val="24"/>
          <w:szCs w:val="24"/>
          <w:highlight w:val="none"/>
          <w:u w:val="single"/>
          <w:lang w:val="en-US" w:eastAsia="zh-CN"/>
        </w:rPr>
        <w:t>11</w:t>
      </w:r>
      <w:r>
        <w:rPr>
          <w:rFonts w:hint="eastAsia" w:ascii="仿宋_GB2312" w:hAnsi="仿宋_GB2312" w:eastAsia="仿宋_GB2312" w:cs="仿宋_GB2312"/>
          <w:color w:val="auto"/>
          <w:kern w:val="0"/>
          <w:sz w:val="24"/>
          <w:szCs w:val="24"/>
          <w:highlight w:val="none"/>
          <w:u w:val="single"/>
        </w:rPr>
        <w:t>月</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u w:val="single"/>
        </w:rPr>
        <w:t>日起至2023年</w:t>
      </w:r>
      <w:r>
        <w:rPr>
          <w:rFonts w:hint="eastAsia" w:ascii="仿宋_GB2312" w:hAnsi="仿宋_GB2312" w:eastAsia="仿宋_GB2312" w:cs="仿宋_GB2312"/>
          <w:color w:val="auto"/>
          <w:kern w:val="0"/>
          <w:sz w:val="24"/>
          <w:szCs w:val="24"/>
          <w:highlight w:val="none"/>
          <w:u w:val="single"/>
          <w:lang w:val="en-US" w:eastAsia="zh-CN"/>
        </w:rPr>
        <w:t>11</w:t>
      </w:r>
      <w:r>
        <w:rPr>
          <w:rFonts w:hint="eastAsia" w:ascii="仿宋_GB2312" w:hAnsi="仿宋_GB2312" w:eastAsia="仿宋_GB2312" w:cs="仿宋_GB2312"/>
          <w:color w:val="auto"/>
          <w:kern w:val="0"/>
          <w:sz w:val="24"/>
          <w:szCs w:val="24"/>
          <w:highlight w:val="none"/>
          <w:u w:val="single"/>
        </w:rPr>
        <w:t>月</w:t>
      </w:r>
      <w:r>
        <w:rPr>
          <w:rFonts w:hint="eastAsia" w:ascii="仿宋_GB2312" w:hAnsi="仿宋_GB2312" w:eastAsia="仿宋_GB2312" w:cs="仿宋_GB2312"/>
          <w:color w:val="auto"/>
          <w:kern w:val="0"/>
          <w:sz w:val="24"/>
          <w:szCs w:val="24"/>
          <w:highlight w:val="none"/>
          <w:u w:val="single"/>
          <w:lang w:val="en-US" w:eastAsia="zh-CN"/>
        </w:rPr>
        <w:t xml:space="preserve">15 </w:t>
      </w:r>
      <w:r>
        <w:rPr>
          <w:rFonts w:hint="eastAsia" w:ascii="仿宋_GB2312" w:hAnsi="仿宋_GB2312" w:eastAsia="仿宋_GB2312" w:cs="仿宋_GB2312"/>
          <w:color w:val="auto"/>
          <w:kern w:val="0"/>
          <w:sz w:val="24"/>
          <w:szCs w:val="24"/>
          <w:highlight w:val="none"/>
          <w:u w:val="single"/>
        </w:rPr>
        <w:t>日，</w:t>
      </w:r>
      <w:r>
        <w:rPr>
          <w:rFonts w:hint="eastAsia" w:ascii="仿宋_GB2312" w:hAnsi="仿宋_GB2312" w:eastAsia="仿宋_GB2312" w:cs="仿宋_GB2312"/>
          <w:color w:val="auto"/>
          <w:kern w:val="0"/>
          <w:sz w:val="24"/>
          <w:szCs w:val="24"/>
          <w:highlight w:val="none"/>
        </w:rPr>
        <w:t>工期为</w:t>
      </w:r>
      <w:r>
        <w:rPr>
          <w:rFonts w:hint="eastAsia" w:ascii="仿宋_GB2312" w:hAnsi="仿宋_GB2312" w:eastAsia="仿宋_GB2312" w:cs="仿宋_GB2312"/>
          <w:color w:val="auto"/>
          <w:kern w:val="0"/>
          <w:sz w:val="24"/>
          <w:szCs w:val="24"/>
          <w:highlight w:val="none"/>
          <w:u w:val="single"/>
          <w:lang w:val="en-US" w:eastAsia="zh-CN"/>
        </w:rPr>
        <w:t xml:space="preserve"> 15</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个日历天，具体施工时间根据项目部施工进度安排。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ind w:left="0" w:leftChars="0" w:firstLine="420" w:firstLineChars="175"/>
        <w:rPr>
          <w:rFonts w:hint="eastAsia" w:ascii="仿宋_GB2312" w:hAnsi="仿宋_GB2312" w:eastAsia="仿宋_GB2312" w:cs="仿宋_GB2312"/>
          <w:color w:val="auto"/>
          <w:kern w:val="0"/>
          <w:sz w:val="24"/>
          <w:szCs w:val="24"/>
        </w:rPr>
      </w:pPr>
    </w:p>
    <w:p>
      <w:pPr>
        <w:ind w:left="0" w:leftChars="0" w:firstLine="420" w:firstLineChars="175"/>
        <w:jc w:val="right"/>
        <w:rPr>
          <w:rFonts w:hint="eastAsia" w:ascii="仿宋_GB2312" w:hAnsi="仿宋_GB2312" w:eastAsia="仿宋_GB2312" w:cs="仿宋_GB2312"/>
          <w:color w:val="auto"/>
          <w:kern w:val="0"/>
          <w:sz w:val="24"/>
          <w:szCs w:val="24"/>
          <w:lang w:val="en-US" w:eastAsia="zh-CN"/>
        </w:rPr>
      </w:pPr>
    </w:p>
    <w:p>
      <w:pPr>
        <w:spacing w:line="360" w:lineRule="auto"/>
        <w:ind w:left="0" w:leftChars="0" w:firstLine="420" w:firstLineChars="175"/>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东莞市莞城建筑工程有限公司</w:t>
      </w:r>
    </w:p>
    <w:p>
      <w:pPr>
        <w:spacing w:line="360" w:lineRule="auto"/>
        <w:ind w:left="0" w:leftChars="0" w:right="325" w:rightChars="155" w:firstLine="420" w:firstLineChars="175"/>
        <w:jc w:val="righ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2023年10月28</w:t>
      </w:r>
      <w:bookmarkStart w:id="0" w:name="_GoBack"/>
      <w:bookmarkEnd w:id="0"/>
      <w:r>
        <w:rPr>
          <w:rFonts w:hint="eastAsia" w:ascii="仿宋_GB2312" w:hAnsi="仿宋_GB2312" w:eastAsia="仿宋_GB2312" w:cs="仿宋_GB2312"/>
          <w:color w:val="auto"/>
          <w:kern w:val="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375D304B"/>
    <w:rsid w:val="01E35812"/>
    <w:rsid w:val="04464BCF"/>
    <w:rsid w:val="05A92512"/>
    <w:rsid w:val="08177FEC"/>
    <w:rsid w:val="0F8A4340"/>
    <w:rsid w:val="11C0046E"/>
    <w:rsid w:val="15601899"/>
    <w:rsid w:val="17E92FD6"/>
    <w:rsid w:val="1BEB04EA"/>
    <w:rsid w:val="1C4A1F34"/>
    <w:rsid w:val="20605CA4"/>
    <w:rsid w:val="230A6B99"/>
    <w:rsid w:val="25F74F3C"/>
    <w:rsid w:val="27D80F84"/>
    <w:rsid w:val="29C315B7"/>
    <w:rsid w:val="2A491FE4"/>
    <w:rsid w:val="2DF310D4"/>
    <w:rsid w:val="2E092B4D"/>
    <w:rsid w:val="2F1F4DB3"/>
    <w:rsid w:val="320002E8"/>
    <w:rsid w:val="375D304B"/>
    <w:rsid w:val="3F360BC2"/>
    <w:rsid w:val="40E75278"/>
    <w:rsid w:val="4C231338"/>
    <w:rsid w:val="4D6E138C"/>
    <w:rsid w:val="529B0C90"/>
    <w:rsid w:val="54F91E30"/>
    <w:rsid w:val="55E944E3"/>
    <w:rsid w:val="55ED3409"/>
    <w:rsid w:val="5BF71789"/>
    <w:rsid w:val="5C1A696F"/>
    <w:rsid w:val="5EF90A2F"/>
    <w:rsid w:val="5F821C8B"/>
    <w:rsid w:val="6A017A4C"/>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2023-10-27T08:42:00Z</dcterms:created>
  <dc:creator>MCmai</dc:creator>
  <cp:lastModifiedBy>MCmai</cp:lastModifiedBy>
  <dcterms:modified xsi:type="dcterms:W3CDTF">2023-10-28T05:05:57Z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05FD8ECBAAFF463E8AC7B62D3D780D7F_11</vt:lpwstr>
  </property>
</Properties>
</file>