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BCC66">
      <w:pPr>
        <w:jc w:val="center"/>
        <w:rPr>
          <w:rFonts w:hint="eastAsia" w:ascii="楷体_GB2312" w:hAnsi="楷体_GB2312" w:eastAsia="楷体_GB2312" w:cs="楷体_GB2312"/>
          <w:sz w:val="32"/>
        </w:rPr>
      </w:pPr>
      <w:bookmarkStart w:id="19" w:name="_GoBack"/>
      <w:r>
        <w:rPr>
          <w:rFonts w:hint="eastAsia" w:ascii="楷体_GB2312" w:hAnsi="楷体_GB2312" w:eastAsia="楷体_GB2312" w:cs="楷体_GB2312"/>
          <w:sz w:val="32"/>
        </w:rPr>
        <w:t>采购公告</w:t>
      </w:r>
    </w:p>
    <w:p w14:paraId="25372E7A">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4C800BE1">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东莞市沙田中学（暂定名）高低压进线与配电工程</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rPr>
        <w:t xml:space="preserve"> 公开采购 </w:t>
      </w:r>
      <w:r>
        <w:rPr>
          <w:rFonts w:hint="eastAsia" w:ascii="仿宋_GB2312" w:hAnsi="仿宋_GB2312" w:eastAsia="仿宋_GB2312" w:cs="仿宋_GB2312"/>
          <w:kern w:val="0"/>
          <w:szCs w:val="21"/>
        </w:rPr>
        <w:t>现将有关事项说明如下：</w:t>
      </w:r>
    </w:p>
    <w:p w14:paraId="403F2E82">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r>
        <w:rPr>
          <w:rFonts w:hint="eastAsia" w:ascii="仿宋_GB2312" w:hAnsi="仿宋_GB2312" w:eastAsia="仿宋_GB2312" w:cs="仿宋_GB2312"/>
          <w:kern w:val="0"/>
          <w:szCs w:val="21"/>
          <w:u w:val="single"/>
        </w:rPr>
        <w:t xml:space="preserve">  </w:t>
      </w:r>
      <w:bookmarkStart w:id="0" w:name="OLE_LINK33"/>
      <w:r>
        <w:rPr>
          <w:rFonts w:hint="eastAsia" w:ascii="仿宋_GB2312" w:hAnsi="仿宋_GB2312" w:eastAsia="仿宋_GB2312" w:cs="仿宋_GB2312"/>
          <w:kern w:val="0"/>
          <w:szCs w:val="21"/>
          <w:u w:val="single"/>
          <w:lang w:val="en-US" w:eastAsia="zh-CN"/>
        </w:rPr>
        <w:t>东莞市沙田中学（暂定名）高低压进线与配电工程</w:t>
      </w:r>
      <w:bookmarkEnd w:id="0"/>
    </w:p>
    <w:p w14:paraId="288598C6">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项目编号：</w:t>
      </w:r>
      <w:r>
        <w:rPr>
          <w:rFonts w:hint="eastAsia" w:ascii="仿宋_GB2312" w:hAnsi="仿宋_GB2312" w:eastAsia="仿宋_GB2312" w:cs="仿宋_GB2312"/>
          <w:kern w:val="0"/>
          <w:szCs w:val="21"/>
          <w:u w:val="single"/>
        </w:rPr>
        <w:t xml:space="preserve">  </w:t>
      </w:r>
      <w:bookmarkStart w:id="1" w:name="OLE_LINK34"/>
      <w:r>
        <w:rPr>
          <w:rFonts w:hint="eastAsia" w:ascii="仿宋_GB2312" w:hAnsi="仿宋_GB2312" w:eastAsia="仿宋_GB2312" w:cs="仿宋_GB2312"/>
          <w:kern w:val="0"/>
          <w:szCs w:val="21"/>
          <w:u w:val="single"/>
        </w:rPr>
        <w:t>ZBCG-</w:t>
      </w:r>
      <w:r>
        <w:rPr>
          <w:rFonts w:hint="eastAsia" w:ascii="仿宋_GB2312" w:hAnsi="仿宋_GB2312" w:eastAsia="仿宋_GB2312" w:cs="仿宋_GB2312"/>
          <w:kern w:val="0"/>
          <w:szCs w:val="21"/>
          <w:u w:val="single"/>
          <w:lang w:eastAsia="zh-CN"/>
        </w:rPr>
        <w:t>2025-159</w:t>
      </w:r>
      <w:bookmarkEnd w:id="1"/>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 xml:space="preserve">  </w:t>
      </w:r>
    </w:p>
    <w:p w14:paraId="390AECF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三、工程地点：  </w:t>
      </w:r>
      <w:r>
        <w:rPr>
          <w:rFonts w:hint="eastAsia" w:ascii="仿宋_GB2312" w:hAnsi="仿宋_GB2312" w:eastAsia="仿宋_GB2312" w:cs="仿宋_GB2312"/>
          <w:kern w:val="0"/>
          <w:szCs w:val="21"/>
          <w:u w:val="single"/>
          <w:lang w:val="en-US" w:eastAsia="zh-CN"/>
        </w:rPr>
        <w:t>东莞沙田</w:t>
      </w:r>
      <w:r>
        <w:rPr>
          <w:rFonts w:hint="eastAsia" w:ascii="仿宋_GB2312" w:hAnsi="仿宋_GB2312" w:eastAsia="仿宋_GB2312" w:cs="仿宋_GB2312"/>
          <w:kern w:val="0"/>
          <w:szCs w:val="21"/>
        </w:rPr>
        <w:t xml:space="preserve">                </w:t>
      </w:r>
    </w:p>
    <w:p w14:paraId="28DBDD2D">
      <w:pPr>
        <w:widowControl/>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rPr>
        <w:t>四、采购限价：</w:t>
      </w:r>
      <w:bookmarkStart w:id="2" w:name="OLE_LINK31"/>
      <w:r>
        <w:rPr>
          <w:rFonts w:hint="eastAsia" w:ascii="仿宋_GB2312" w:hAnsi="仿宋_GB2312" w:eastAsia="仿宋_GB2312" w:cs="仿宋_GB2312"/>
          <w:kern w:val="0"/>
          <w:szCs w:val="21"/>
        </w:rPr>
        <w:t>本项目采购控制价为</w:t>
      </w:r>
      <w:bookmarkStart w:id="3" w:name="OLE_LINK11"/>
      <w:r>
        <w:rPr>
          <w:rFonts w:hint="eastAsia" w:ascii="仿宋_GB2312" w:hAnsi="仿宋_GB2312" w:eastAsia="仿宋_GB2312" w:cs="仿宋_GB2312"/>
          <w:kern w:val="0"/>
          <w:szCs w:val="21"/>
        </w:rPr>
        <w:t xml:space="preserve"> </w:t>
      </w:r>
      <w:bookmarkStart w:id="4" w:name="OLE_LINK23"/>
      <w:bookmarkStart w:id="5" w:name="OLE_LINK8"/>
      <w:bookmarkStart w:id="6" w:name="OLE_LINK25"/>
      <w:bookmarkStart w:id="7" w:name="OLE_LINK12"/>
      <w:r>
        <w:rPr>
          <w:rFonts w:hint="eastAsia" w:ascii="仿宋_GB2312" w:hAnsi="仿宋_GB2312" w:eastAsia="仿宋_GB2312" w:cs="仿宋_GB2312"/>
          <w:kern w:val="0"/>
          <w:szCs w:val="21"/>
          <w:lang w:val="en-US" w:eastAsia="zh-CN"/>
        </w:rPr>
        <w:t>9956396.89</w:t>
      </w:r>
      <w:bookmarkEnd w:id="3"/>
      <w:bookmarkEnd w:id="4"/>
      <w:bookmarkEnd w:id="5"/>
      <w:bookmarkEnd w:id="6"/>
      <w:bookmarkEnd w:id="7"/>
      <w:r>
        <w:rPr>
          <w:rFonts w:hint="eastAsia" w:ascii="仿宋_GB2312" w:hAnsi="仿宋_GB2312" w:eastAsia="仿宋_GB2312" w:cs="仿宋_GB2312"/>
          <w:kern w:val="0"/>
          <w:szCs w:val="21"/>
        </w:rPr>
        <w:t xml:space="preserve">元（含税 </w:t>
      </w:r>
      <w:r>
        <w:rPr>
          <w:rFonts w:hint="eastAsia" w:ascii="仿宋_GB2312" w:hAnsi="仿宋_GB2312" w:eastAsia="仿宋_GB2312" w:cs="仿宋_GB2312"/>
          <w:kern w:val="0"/>
          <w:szCs w:val="21"/>
          <w:lang w:val="en-US" w:eastAsia="zh-CN"/>
        </w:rPr>
        <w:t>9</w:t>
      </w:r>
      <w:r>
        <w:rPr>
          <w:rFonts w:hint="eastAsia" w:ascii="仿宋_GB2312" w:hAnsi="仿宋_GB2312" w:eastAsia="仿宋_GB2312" w:cs="仿宋_GB2312"/>
          <w:kern w:val="0"/>
          <w:szCs w:val="21"/>
        </w:rPr>
        <w:t xml:space="preserve"> %）,</w:t>
      </w:r>
      <w:r>
        <w:rPr>
          <w:rFonts w:hint="default" w:ascii="仿宋_GB2312" w:hAnsi="仿宋_GB2312" w:eastAsia="仿宋_GB2312" w:cs="仿宋_GB2312"/>
          <w:kern w:val="0"/>
          <w:szCs w:val="21"/>
        </w:rPr>
        <w:t>按</w:t>
      </w:r>
      <w:r>
        <w:rPr>
          <w:rFonts w:hint="eastAsia" w:ascii="仿宋_GB2312" w:hAnsi="仿宋_GB2312" w:eastAsia="仿宋_GB2312" w:cs="仿宋_GB2312"/>
          <w:kern w:val="0"/>
          <w:szCs w:val="21"/>
          <w:lang w:val="en-US" w:eastAsia="zh-CN"/>
        </w:rPr>
        <w:t>采购</w:t>
      </w:r>
      <w:r>
        <w:rPr>
          <w:rFonts w:hint="default" w:ascii="仿宋_GB2312" w:hAnsi="仿宋_GB2312" w:eastAsia="仿宋_GB2312" w:cs="仿宋_GB2312"/>
          <w:kern w:val="0"/>
          <w:szCs w:val="21"/>
        </w:rPr>
        <w:t>控制价</w:t>
      </w:r>
      <w:r>
        <w:rPr>
          <w:rFonts w:hint="eastAsia" w:ascii="仿宋_GB2312" w:hAnsi="仿宋_GB2312" w:eastAsia="仿宋_GB2312" w:cs="仿宋_GB2312"/>
          <w:kern w:val="0"/>
          <w:szCs w:val="21"/>
          <w:lang w:val="en-US" w:eastAsia="zh-CN"/>
        </w:rPr>
        <w:t>下浮5.00%</w:t>
      </w:r>
      <w:r>
        <w:rPr>
          <w:rFonts w:hint="default" w:ascii="仿宋_GB2312" w:hAnsi="仿宋_GB2312" w:eastAsia="仿宋_GB2312" w:cs="仿宋_GB2312"/>
          <w:kern w:val="0"/>
          <w:szCs w:val="21"/>
        </w:rPr>
        <w:t>作为最高限价</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lang w:val="en-US" w:eastAsia="zh-CN"/>
        </w:rPr>
        <w:t>即下浮后最高限价为</w:t>
      </w:r>
      <w:bookmarkStart w:id="8" w:name="OLE_LINK26"/>
      <w:bookmarkStart w:id="9" w:name="OLE_LINK24"/>
      <w:bookmarkStart w:id="10" w:name="OLE_LINK13"/>
      <w:r>
        <w:rPr>
          <w:rFonts w:hint="eastAsia" w:ascii="仿宋_GB2312" w:hAnsi="仿宋_GB2312" w:eastAsia="仿宋_GB2312" w:cs="仿宋_GB2312"/>
          <w:kern w:val="0"/>
          <w:szCs w:val="21"/>
          <w:lang w:val="en-US" w:eastAsia="zh-CN"/>
        </w:rPr>
        <w:t>9458577.04</w:t>
      </w:r>
      <w:bookmarkEnd w:id="8"/>
      <w:bookmarkEnd w:id="9"/>
      <w:bookmarkEnd w:id="10"/>
      <w:r>
        <w:rPr>
          <w:rFonts w:hint="eastAsia" w:ascii="仿宋_GB2312" w:hAnsi="仿宋_GB2312" w:eastAsia="仿宋_GB2312" w:cs="仿宋_GB2312"/>
          <w:kern w:val="0"/>
          <w:szCs w:val="21"/>
          <w:lang w:val="en-US" w:eastAsia="zh-CN"/>
        </w:rPr>
        <w:t xml:space="preserve">元， </w:t>
      </w:r>
      <w:r>
        <w:rPr>
          <w:rFonts w:hint="default" w:ascii="仿宋_GB2312" w:hAnsi="仿宋_GB2312" w:eastAsia="仿宋_GB2312" w:cs="仿宋_GB2312"/>
          <w:kern w:val="0"/>
          <w:szCs w:val="21"/>
          <w:lang w:val="en-US" w:eastAsia="zh-CN"/>
        </w:rPr>
        <w:t>其中不含税价为</w:t>
      </w:r>
      <w:r>
        <w:rPr>
          <w:rFonts w:hint="eastAsia" w:ascii="仿宋_GB2312" w:hAnsi="仿宋_GB2312" w:eastAsia="仿宋_GB2312" w:cs="仿宋_GB2312"/>
          <w:kern w:val="0"/>
          <w:szCs w:val="21"/>
          <w:lang w:val="en-US" w:eastAsia="zh-CN"/>
        </w:rPr>
        <w:t xml:space="preserve"> </w:t>
      </w:r>
      <w:bookmarkStart w:id="11" w:name="OLE_LINK14"/>
      <w:r>
        <w:rPr>
          <w:rFonts w:hint="eastAsia" w:ascii="仿宋_GB2312" w:hAnsi="仿宋_GB2312" w:eastAsia="仿宋_GB2312" w:cs="仿宋_GB2312"/>
          <w:kern w:val="0"/>
          <w:szCs w:val="21"/>
          <w:lang w:val="en-US" w:eastAsia="zh-CN"/>
        </w:rPr>
        <w:t>8677593.61</w:t>
      </w:r>
      <w:bookmarkEnd w:id="11"/>
      <w:r>
        <w:rPr>
          <w:rFonts w:hint="default" w:ascii="仿宋_GB2312" w:hAnsi="仿宋_GB2312" w:eastAsia="仿宋_GB2312" w:cs="仿宋_GB2312"/>
          <w:kern w:val="0"/>
          <w:szCs w:val="21"/>
          <w:lang w:val="en-US" w:eastAsia="zh-CN"/>
        </w:rPr>
        <w:t>元，</w:t>
      </w:r>
      <w:r>
        <w:rPr>
          <w:rFonts w:hint="eastAsia" w:ascii="仿宋_GB2312" w:hAnsi="仿宋_GB2312" w:eastAsia="仿宋_GB2312" w:cs="仿宋_GB2312"/>
          <w:kern w:val="0"/>
          <w:szCs w:val="21"/>
          <w:lang w:val="en-US" w:eastAsia="zh-CN"/>
        </w:rPr>
        <w:t>（大写）捌佰陆拾柒万柒仟伍佰玖拾叁元陆角壹分；</w:t>
      </w:r>
      <w:r>
        <w:rPr>
          <w:rFonts w:hint="default" w:ascii="仿宋_GB2312" w:hAnsi="仿宋_GB2312" w:eastAsia="仿宋_GB2312" w:cs="仿宋_GB2312"/>
          <w:kern w:val="0"/>
          <w:szCs w:val="21"/>
          <w:lang w:val="en-US" w:eastAsia="zh-CN"/>
        </w:rPr>
        <w:t>税金</w:t>
      </w:r>
      <w:bookmarkStart w:id="12" w:name="OLE_LINK15"/>
      <w:r>
        <w:rPr>
          <w:rFonts w:hint="eastAsia" w:ascii="仿宋_GB2312" w:hAnsi="仿宋_GB2312" w:eastAsia="仿宋_GB2312" w:cs="仿宋_GB2312"/>
          <w:kern w:val="0"/>
          <w:szCs w:val="21"/>
          <w:lang w:val="en-US" w:eastAsia="zh-CN"/>
        </w:rPr>
        <w:t>780983.43</w:t>
      </w:r>
      <w:bookmarkEnd w:id="12"/>
      <w:r>
        <w:rPr>
          <w:rFonts w:hint="default" w:ascii="仿宋_GB2312" w:hAnsi="仿宋_GB2312" w:eastAsia="仿宋_GB2312" w:cs="仿宋_GB2312"/>
          <w:kern w:val="0"/>
          <w:szCs w:val="21"/>
          <w:lang w:val="en-US" w:eastAsia="zh-CN"/>
        </w:rPr>
        <w:t>元</w:t>
      </w:r>
      <w:r>
        <w:rPr>
          <w:rFonts w:hint="eastAsia" w:ascii="仿宋_GB2312" w:hAnsi="仿宋_GB2312" w:eastAsia="仿宋_GB2312" w:cs="仿宋_GB2312"/>
          <w:kern w:val="0"/>
          <w:szCs w:val="21"/>
          <w:lang w:val="en-US" w:eastAsia="zh-CN"/>
        </w:rPr>
        <w:t>，（大写）柒拾捌万零玖佰捌拾叁元肆角叁分（投标人报价不得高于采购限价）。</w:t>
      </w:r>
      <w:bookmarkEnd w:id="2"/>
    </w:p>
    <w:p w14:paraId="72784160">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五、工程概况：本项目总用地面积为 92727.86 平方米，总建筑面积 146572.85 平方米，拟建</w:t>
      </w:r>
      <w:r>
        <w:rPr>
          <w:rFonts w:hint="eastAsia" w:ascii="仿宋_GB2312" w:hAnsi="仿宋_GB2312" w:eastAsia="仿宋_GB2312" w:cs="仿宋_GB2312"/>
          <w:kern w:val="0"/>
          <w:szCs w:val="21"/>
          <w:lang w:val="en-US" w:eastAsia="zh-CN"/>
        </w:rPr>
        <w:t>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r>
        <w:rPr>
          <w:rFonts w:hint="eastAsia" w:ascii="仿宋_GB2312" w:hAnsi="仿宋_GB2312" w:eastAsia="仿宋_GB2312" w:cs="仿宋_GB2312"/>
          <w:kern w:val="0"/>
          <w:szCs w:val="21"/>
        </w:rPr>
        <w:t xml:space="preserve"> </w:t>
      </w:r>
    </w:p>
    <w:p w14:paraId="134A0DE1">
      <w:pPr>
        <w:widowControl/>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 xml:space="preserve">  </w:t>
      </w:r>
      <w:bookmarkStart w:id="13" w:name="OLE_LINK27"/>
      <w:r>
        <w:rPr>
          <w:rFonts w:hint="eastAsia" w:ascii="仿宋_GB2312" w:hAnsi="仿宋_GB2312" w:eastAsia="仿宋_GB2312" w:cs="仿宋_GB2312"/>
          <w:kern w:val="0"/>
          <w:szCs w:val="21"/>
          <w:lang w:val="en-US" w:eastAsia="zh-CN"/>
        </w:rPr>
        <w:t xml:space="preserve"> </w:t>
      </w:r>
      <w:bookmarkStart w:id="14" w:name="OLE_LINK21"/>
      <w:bookmarkStart w:id="15" w:name="OLE_LINK1"/>
      <w:r>
        <w:rPr>
          <w:rFonts w:hint="eastAsia" w:ascii="仿宋_GB2312" w:hAnsi="仿宋_GB2312" w:eastAsia="仿宋_GB2312" w:cs="仿宋_GB2312"/>
          <w:kern w:val="0"/>
          <w:szCs w:val="21"/>
          <w:lang w:val="en-US" w:eastAsia="zh-CN"/>
        </w:rPr>
        <w:t>本工程高低压进线与配电工程概况：主要包括1号食堂宿舍（变配电房）高低压配电柜约39台及配套的保护管、电力电缆、变压器、发电机系统及调试；6号初中教学楼（变配电房）高低压配电柜约26台、电缆及电缆保护管、变压器、送配电装置系统等；室外、红线外（包括电力电缆约4000m、保护管、电缆头、开挖沟槽土方、余方弃置）</w:t>
      </w:r>
      <w:r>
        <w:rPr>
          <w:rFonts w:hint="eastAsia" w:ascii="仿宋_GB2312" w:hAnsi="仿宋_GB2312" w:eastAsia="仿宋_GB2312" w:cs="仿宋_GB2312"/>
          <w:bCs w:val="0"/>
          <w:kern w:val="0"/>
          <w:szCs w:val="21"/>
          <w:lang w:val="en-US" w:eastAsia="zh-CN"/>
        </w:rPr>
        <w:t>等</w:t>
      </w:r>
      <w:r>
        <w:rPr>
          <w:rFonts w:hint="eastAsia" w:ascii="仿宋_GB2312" w:hAnsi="仿宋_GB2312" w:eastAsia="仿宋_GB2312" w:cs="仿宋_GB2312"/>
          <w:kern w:val="0"/>
          <w:szCs w:val="21"/>
          <w:lang w:val="en-US" w:eastAsia="zh-CN"/>
        </w:rPr>
        <w:t>具体以施工图纸为准。</w:t>
      </w:r>
      <w:bookmarkEnd w:id="14"/>
    </w:p>
    <w:bookmarkEnd w:id="13"/>
    <w:bookmarkEnd w:id="15"/>
    <w:p w14:paraId="2C40264B">
      <w:pPr>
        <w:widowControl/>
        <w:numPr>
          <w:ilvl w:val="0"/>
          <w:numId w:val="2"/>
        </w:numPr>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分包工程主要范围</w:t>
      </w:r>
      <w:r>
        <w:rPr>
          <w:rFonts w:hint="default" w:ascii="仿宋_GB2312" w:hAnsi="仿宋_GB2312" w:eastAsia="仿宋_GB2312" w:cs="仿宋_GB2312"/>
          <w:kern w:val="0"/>
          <w:szCs w:val="21"/>
          <w:lang w:val="en-US" w:eastAsia="zh-CN"/>
        </w:rPr>
        <w:t>包括：</w:t>
      </w:r>
      <w:bookmarkStart w:id="16" w:name="OLE_LINK28"/>
      <w:r>
        <w:rPr>
          <w:rFonts w:hint="eastAsia" w:ascii="宋体" w:hAnsi="宋体" w:eastAsia="宋体" w:cs="宋体"/>
          <w:lang w:val="en-US" w:eastAsia="zh-CN"/>
        </w:rPr>
        <w:t>1号食堂宿舍（变配电房）、6号初中教学楼（变配电房）、室外、红线外。</w:t>
      </w:r>
    </w:p>
    <w:p w14:paraId="3E7654DC">
      <w:pPr>
        <w:keepNext w:val="0"/>
        <w:keepLines w:val="0"/>
        <w:pageBreakBefore w:val="0"/>
        <w:widowControl/>
        <w:numPr>
          <w:ilvl w:val="0"/>
          <w:numId w:val="0"/>
        </w:numPr>
        <w:suppressLineNumbers w:val="0"/>
        <w:kinsoku/>
        <w:wordWrap/>
        <w:overflowPunct/>
        <w:topLinePunct w:val="0"/>
        <w:autoSpaceDE/>
        <w:autoSpaceDN/>
        <w:bidi w:val="0"/>
        <w:adjustRightInd/>
        <w:snapToGrid w:val="0"/>
        <w:spacing w:after="0" w:afterLines="0" w:line="360" w:lineRule="auto"/>
        <w:ind w:firstLine="0" w:firstLineChars="0"/>
        <w:jc w:val="left"/>
        <w:textAlignment w:val="auto"/>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（1）负责施工图深化工作，并取得南方电网确认，同时取得我方、建设单位、监理单位、设计单位确认。</w:t>
      </w:r>
    </w:p>
    <w:p w14:paraId="78B3AC1A">
      <w:pPr>
        <w:keepNext w:val="0"/>
        <w:keepLines w:val="0"/>
        <w:pageBreakBefore w:val="0"/>
        <w:widowControl/>
        <w:numPr>
          <w:ilvl w:val="0"/>
          <w:numId w:val="0"/>
        </w:numPr>
        <w:suppressLineNumbers w:val="0"/>
        <w:kinsoku/>
        <w:wordWrap/>
        <w:overflowPunct/>
        <w:topLinePunct w:val="0"/>
        <w:autoSpaceDE/>
        <w:autoSpaceDN/>
        <w:bidi w:val="0"/>
        <w:adjustRightInd/>
        <w:snapToGrid w:val="0"/>
        <w:spacing w:after="0" w:afterLines="0" w:line="360" w:lineRule="auto"/>
        <w:ind w:firstLine="0" w:firstLineChars="0"/>
        <w:jc w:val="left"/>
        <w:textAlignment w:val="auto"/>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（2）负责整个项目的供电报装、</w:t>
      </w:r>
      <w:r>
        <w:rPr>
          <w:rFonts w:hint="eastAsia" w:ascii="仿宋_GB2312" w:hAnsi="仿宋_GB2312" w:eastAsia="仿宋_GB2312" w:cs="仿宋_GB2312"/>
          <w:kern w:val="0"/>
          <w:sz w:val="21"/>
          <w:szCs w:val="21"/>
        </w:rPr>
        <w:t>工程验收、送电及相关手续完成后负责送电后直至</w:t>
      </w:r>
      <w:r>
        <w:rPr>
          <w:rFonts w:hint="eastAsia" w:ascii="仿宋_GB2312" w:hAnsi="仿宋_GB2312" w:eastAsia="仿宋_GB2312" w:cs="仿宋_GB2312"/>
          <w:kern w:val="0"/>
          <w:sz w:val="21"/>
          <w:szCs w:val="21"/>
          <w:lang w:val="en-US" w:eastAsia="zh-CN"/>
        </w:rPr>
        <w:t>移交前</w:t>
      </w:r>
      <w:r>
        <w:rPr>
          <w:rFonts w:hint="eastAsia" w:ascii="仿宋_GB2312" w:hAnsi="仿宋_GB2312" w:eastAsia="仿宋_GB2312" w:cs="仿宋_GB2312"/>
          <w:kern w:val="0"/>
          <w:sz w:val="21"/>
          <w:szCs w:val="21"/>
        </w:rPr>
        <w:t>的供配电房的管理、操作、运行及维护等工作</w:t>
      </w:r>
      <w:r>
        <w:rPr>
          <w:rFonts w:hint="eastAsia" w:ascii="仿宋_GB2312" w:hAnsi="仿宋_GB2312" w:eastAsia="仿宋_GB2312" w:cs="仿宋_GB2312"/>
          <w:kern w:val="0"/>
          <w:sz w:val="21"/>
          <w:szCs w:val="21"/>
          <w:lang w:eastAsia="zh-CN"/>
        </w:rPr>
        <w:t>。</w:t>
      </w:r>
    </w:p>
    <w:p w14:paraId="5C1CC2A3">
      <w:pPr>
        <w:keepNext w:val="0"/>
        <w:keepLines w:val="0"/>
        <w:pageBreakBefore w:val="0"/>
        <w:widowControl/>
        <w:numPr>
          <w:ilvl w:val="0"/>
          <w:numId w:val="0"/>
        </w:numPr>
        <w:suppressLineNumbers w:val="0"/>
        <w:kinsoku/>
        <w:wordWrap/>
        <w:overflowPunct/>
        <w:topLinePunct w:val="0"/>
        <w:autoSpaceDE/>
        <w:autoSpaceDN/>
        <w:bidi w:val="0"/>
        <w:adjustRightInd/>
        <w:snapToGrid w:val="0"/>
        <w:spacing w:after="0" w:afterLines="0" w:line="360" w:lineRule="auto"/>
        <w:ind w:firstLine="0" w:firstLineChars="0"/>
        <w:jc w:val="left"/>
        <w:textAlignment w:val="auto"/>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color w:val="000000"/>
          <w:kern w:val="0"/>
          <w:sz w:val="21"/>
          <w:szCs w:val="21"/>
          <w:lang w:val="en-US" w:eastAsia="zh-CN" w:bidi="ar"/>
        </w:rPr>
        <w:t>（3）</w:t>
      </w:r>
      <w:r>
        <w:rPr>
          <w:rFonts w:hint="eastAsia" w:ascii="仿宋_GB2312" w:hAnsi="仿宋_GB2312" w:eastAsia="仿宋_GB2312" w:cs="仿宋_GB2312"/>
          <w:kern w:val="0"/>
          <w:sz w:val="21"/>
          <w:szCs w:val="21"/>
        </w:rPr>
        <w:t>高低压配电项目</w:t>
      </w:r>
      <w:r>
        <w:rPr>
          <w:rFonts w:hint="eastAsia" w:ascii="仿宋_GB2312" w:hAnsi="仿宋_GB2312" w:eastAsia="仿宋_GB2312" w:cs="仿宋_GB2312"/>
          <w:kern w:val="0"/>
          <w:sz w:val="21"/>
          <w:szCs w:val="21"/>
          <w:lang w:val="en-US" w:eastAsia="zh-CN"/>
        </w:rPr>
        <w:t>的</w:t>
      </w:r>
      <w:r>
        <w:rPr>
          <w:rFonts w:hint="eastAsia" w:ascii="仿宋_GB2312" w:hAnsi="仿宋_GB2312" w:eastAsia="仿宋_GB2312" w:cs="仿宋_GB2312"/>
          <w:kern w:val="0"/>
          <w:sz w:val="21"/>
          <w:szCs w:val="21"/>
        </w:rPr>
        <w:t>施工、安装、调试、报验、检测、入网、供电部门计量电表的领取、安装、验收、接火、送电等，以及供配电工程对供电局的安装、调试、验收手续；</w:t>
      </w:r>
      <w:r>
        <w:rPr>
          <w:rFonts w:hint="eastAsia" w:ascii="仿宋_GB2312" w:hAnsi="仿宋_GB2312" w:eastAsia="仿宋_GB2312" w:cs="仿宋_GB2312"/>
          <w:kern w:val="0"/>
          <w:sz w:val="21"/>
          <w:szCs w:val="21"/>
          <w:lang w:val="en-US" w:eastAsia="zh-CN"/>
        </w:rPr>
        <w:t>包括室内发电机和室外移动柴油发电机（不包括发电机）的低压柜、母线槽（或电缆和桥架）、控制线缆。</w:t>
      </w:r>
    </w:p>
    <w:p w14:paraId="142DD266">
      <w:pPr>
        <w:keepNext w:val="0"/>
        <w:keepLines w:val="0"/>
        <w:pageBreakBefore w:val="0"/>
        <w:widowControl/>
        <w:numPr>
          <w:ilvl w:val="0"/>
          <w:numId w:val="0"/>
        </w:numPr>
        <w:suppressLineNumbers w:val="0"/>
        <w:kinsoku/>
        <w:wordWrap/>
        <w:overflowPunct/>
        <w:topLinePunct w:val="0"/>
        <w:autoSpaceDE/>
        <w:autoSpaceDN/>
        <w:bidi w:val="0"/>
        <w:adjustRightInd/>
        <w:snapToGrid w:val="0"/>
        <w:spacing w:after="0" w:afterLines="0" w:line="360" w:lineRule="auto"/>
        <w:ind w:firstLine="0" w:firstLineChars="0"/>
        <w:jc w:val="left"/>
        <w:textAlignment w:val="auto"/>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 w:val="21"/>
          <w:szCs w:val="21"/>
          <w:lang w:val="en-US" w:eastAsia="zh-CN"/>
        </w:rPr>
        <w:t>（4）负责供电外线（一主一备）</w:t>
      </w:r>
      <w:r>
        <w:rPr>
          <w:rFonts w:hint="eastAsia" w:ascii="仿宋_GB2312" w:hAnsi="仿宋_GB2312" w:eastAsia="仿宋_GB2312" w:cs="仿宋_GB2312"/>
          <w:kern w:val="0"/>
          <w:sz w:val="21"/>
          <w:szCs w:val="21"/>
        </w:rPr>
        <w:t>施工、安装、调试、报验、检测、入网安装、验收、接火、送电等</w:t>
      </w:r>
      <w:r>
        <w:rPr>
          <w:rFonts w:hint="eastAsia" w:ascii="仿宋_GB2312" w:hAnsi="仿宋_GB2312" w:eastAsia="仿宋_GB2312" w:cs="仿宋_GB2312"/>
          <w:kern w:val="0"/>
          <w:sz w:val="21"/>
          <w:szCs w:val="21"/>
          <w:lang w:eastAsia="zh-CN"/>
        </w:rPr>
        <w:t>。</w:t>
      </w:r>
    </w:p>
    <w:p w14:paraId="6DBC2B6D">
      <w:pPr>
        <w:widowControl/>
        <w:snapToGrid w:val="0"/>
        <w:spacing w:line="360" w:lineRule="auto"/>
        <w:ind w:firstLine="367" w:firstLineChars="175"/>
        <w:rPr>
          <w:rFonts w:hint="eastAsia" w:ascii="仿宋_GB2312" w:hAnsi="仿宋_GB2312" w:eastAsia="仿宋_GB2312" w:cs="仿宋_GB2312"/>
          <w:kern w:val="0"/>
          <w:szCs w:val="21"/>
          <w:u w:val="single"/>
          <w:lang w:val="en-US" w:eastAsia="zh-CN"/>
        </w:rPr>
      </w:pPr>
      <w:bookmarkStart w:id="17" w:name="OLE_LINK5"/>
      <w:r>
        <w:rPr>
          <w:rFonts w:hint="eastAsia" w:ascii="仿宋_GB2312" w:hAnsi="仿宋_GB2312" w:eastAsia="仿宋_GB2312" w:cs="仿宋_GB2312"/>
          <w:kern w:val="0"/>
          <w:szCs w:val="21"/>
          <w:lang w:val="en-US" w:eastAsia="zh-CN"/>
        </w:rPr>
        <w:t>（</w:t>
      </w:r>
      <w:r>
        <w:rPr>
          <w:rFonts w:hint="eastAsia" w:ascii="仿宋_GB2312" w:hAnsi="仿宋_GB2312" w:eastAsia="仿宋_GB2312" w:cs="仿宋_GB2312"/>
          <w:kern w:val="0"/>
          <w:szCs w:val="21"/>
          <w:u w:val="single"/>
          <w:lang w:val="en-US" w:eastAsia="zh-CN"/>
        </w:rPr>
        <w:t>5）以上采购范围未尽事宜，详见施工图纸及采购清单，并满足设计要求。</w:t>
      </w:r>
    </w:p>
    <w:bookmarkEnd w:id="16"/>
    <w:bookmarkEnd w:id="17"/>
    <w:p w14:paraId="4CF23C0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七、承包方式：</w:t>
      </w:r>
    </w:p>
    <w:p w14:paraId="5C7D67FA">
      <w:pPr>
        <w:widowControl/>
        <w:snapToGrid w:val="0"/>
        <w:spacing w:line="360" w:lineRule="auto"/>
        <w:ind w:firstLine="367" w:firstLineChars="175"/>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1、本工程固定综合单价是</w:t>
      </w:r>
      <w:r>
        <w:rPr>
          <w:rFonts w:hint="eastAsia" w:ascii="仿宋_GB2312" w:hAnsi="仿宋_GB2312" w:eastAsia="仿宋_GB2312" w:cs="仿宋_GB2312"/>
          <w:kern w:val="0"/>
          <w:sz w:val="21"/>
          <w:szCs w:val="21"/>
          <w:lang w:val="en-US" w:eastAsia="zh-CN"/>
        </w:rPr>
        <w:t>采购文件所确定的采购范围内的全部工作内容的价格体现。包括且不限于所需的施工设备、劳务、管理、材料（</w:t>
      </w:r>
      <w:r>
        <w:rPr>
          <w:rFonts w:hint="eastAsia" w:ascii="仿宋_GB2312" w:hAnsi="仿宋_GB2312" w:eastAsia="仿宋_GB2312" w:cs="仿宋_GB2312"/>
          <w:color w:val="FF0000"/>
          <w:kern w:val="0"/>
          <w:sz w:val="21"/>
          <w:szCs w:val="21"/>
          <w:lang w:val="en-US" w:eastAsia="zh-CN"/>
        </w:rPr>
        <w:t>甲供材除外</w:t>
      </w:r>
      <w:r>
        <w:rPr>
          <w:rFonts w:hint="eastAsia" w:ascii="仿宋_GB2312" w:hAnsi="仿宋_GB2312" w:eastAsia="仿宋_GB2312" w:cs="仿宋_GB2312"/>
          <w:kern w:val="0"/>
          <w:sz w:val="21"/>
          <w:szCs w:val="21"/>
          <w:lang w:val="en-US" w:eastAsia="zh-CN"/>
        </w:rPr>
        <w:t>）、损耗、场内外运输费、装卸费、现场安装、施工所需的脚手架及操作平台、其他辅材、成品保护、垃圾清理、水电费、利润、税金（增值税除外）及政策性文件规定的各项应有费用及采购文件明示或暗示的所有一切风险、责任和义务的费用。</w:t>
      </w:r>
      <w:r>
        <w:rPr>
          <w:rFonts w:hint="eastAsia" w:ascii="仿宋_GB2312" w:hAnsi="仿宋_GB2312" w:eastAsia="仿宋_GB2312" w:cs="仿宋_GB2312"/>
          <w:kern w:val="0"/>
          <w:szCs w:val="21"/>
          <w:lang w:val="en-US" w:eastAsia="zh-CN"/>
        </w:rPr>
        <w:t>。</w:t>
      </w:r>
    </w:p>
    <w:p w14:paraId="4F18CB18">
      <w:pPr>
        <w:widowControl/>
        <w:snapToGrid w:val="0"/>
        <w:spacing w:line="360" w:lineRule="auto"/>
        <w:ind w:firstLine="367" w:firstLineChars="175"/>
        <w:rPr>
          <w:rFonts w:hint="eastAsia" w:ascii="仿宋_GB2312" w:hAnsi="仿宋_GB2312" w:eastAsia="仿宋_GB2312" w:cs="仿宋_GB2312"/>
          <w:kern w:val="0"/>
          <w:szCs w:val="21"/>
          <w:u w:val="single"/>
        </w:rPr>
      </w:pPr>
      <w:r>
        <w:rPr>
          <w:rFonts w:hint="eastAsia" w:ascii="仿宋_GB2312" w:hAnsi="仿宋_GB2312" w:eastAsia="仿宋_GB2312" w:cs="仿宋_GB2312"/>
          <w:kern w:val="0"/>
          <w:szCs w:val="21"/>
        </w:rPr>
        <w:t>2、甲供材：</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 xml:space="preserve">无  </w:t>
      </w:r>
      <w:r>
        <w:rPr>
          <w:rFonts w:hint="eastAsia" w:ascii="仿宋_GB2312" w:hAnsi="仿宋_GB2312" w:eastAsia="仿宋_GB2312" w:cs="仿宋_GB2312"/>
          <w:kern w:val="0"/>
          <w:szCs w:val="21"/>
          <w:u w:val="single"/>
          <w:lang w:eastAsia="zh-CN"/>
        </w:rPr>
        <w:t>。</w:t>
      </w:r>
      <w:r>
        <w:rPr>
          <w:rFonts w:hint="eastAsia" w:ascii="仿宋_GB2312" w:hAnsi="仿宋_GB2312" w:eastAsia="仿宋_GB2312" w:cs="仿宋_GB2312"/>
          <w:kern w:val="0"/>
          <w:szCs w:val="21"/>
          <w:u w:val="single"/>
        </w:rPr>
        <w:t xml:space="preserve"> </w:t>
      </w:r>
    </w:p>
    <w:p w14:paraId="3FBE37C2">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八、工期：</w:t>
      </w:r>
      <w:bookmarkStart w:id="18" w:name="OLE_LINK19"/>
      <w:r>
        <w:rPr>
          <w:rFonts w:hint="eastAsia" w:ascii="仿宋_GB2312" w:hAnsi="仿宋_GB2312" w:eastAsia="仿宋_GB2312" w:cs="仿宋_GB2312"/>
          <w:kern w:val="0"/>
          <w:szCs w:val="21"/>
          <w:u w:val="none"/>
          <w:lang w:val="en-US" w:eastAsia="zh-CN"/>
        </w:rPr>
        <w:t>中标后3天内进场与项目部联合编制进度计划及关键节点，并以双方签字确认的进度计划作为施工工期要求</w:t>
      </w:r>
      <w:bookmarkEnd w:id="18"/>
    </w:p>
    <w:p w14:paraId="39A88688">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九、投标文件的递交时间及开标地点：以密封形式于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10</w:t>
      </w:r>
      <w:r>
        <w:rPr>
          <w:rFonts w:hint="eastAsia" w:ascii="仿宋_GB2312" w:hAnsi="仿宋_GB2312" w:eastAsia="仿宋_GB2312" w:cs="仿宋_GB2312"/>
          <w:kern w:val="0"/>
          <w:szCs w:val="21"/>
        </w:rPr>
        <w:t>分前递交，截止时间为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分，所有应答文件必须在规定的应答截止时间前按规定地址送达采购人，逾期恕不接受。</w:t>
      </w:r>
    </w:p>
    <w:p w14:paraId="5E05AFE8">
      <w:pPr>
        <w:widowControl/>
        <w:snapToGrid w:val="0"/>
        <w:spacing w:line="360" w:lineRule="auto"/>
        <w:ind w:firstLine="630" w:firstLineChars="3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开标地址：东莞市南城街道城市风景街8栋</w:t>
      </w:r>
      <w:r>
        <w:rPr>
          <w:rFonts w:hint="eastAsia" w:ascii="仿宋_GB2312" w:hAnsi="仿宋_GB2312" w:eastAsia="仿宋_GB2312" w:cs="仿宋_GB2312"/>
          <w:kern w:val="0"/>
          <w:szCs w:val="21"/>
          <w:lang w:val="en-US" w:eastAsia="zh-CN"/>
        </w:rPr>
        <w:t>3</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kern w:val="0"/>
          <w:szCs w:val="21"/>
        </w:rPr>
        <w:t>开标室。</w:t>
      </w:r>
    </w:p>
    <w:p w14:paraId="074CAF1B">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十、注意事项：</w:t>
      </w:r>
    </w:p>
    <w:p w14:paraId="6D10FFF2">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1、投标人必须全面响应采购文件要求，投标人任何附加条件采购人一律不接受或视为废标。</w:t>
      </w:r>
    </w:p>
    <w:p w14:paraId="5E6D97C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2、中标人严禁有挂靠或者违法转包行为。</w:t>
      </w:r>
    </w:p>
    <w:p w14:paraId="33446675">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3、投标文件严禁出现不平衡报价。</w:t>
      </w:r>
    </w:p>
    <w:p w14:paraId="626FFD66">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4、质量要求：现行的施工规范要求。</w:t>
      </w:r>
    </w:p>
    <w:p w14:paraId="78243BE2">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5、本工程要求开具工人工资支付保函：（计划工期15天内完工的零星项目无需开具工人工资支付保函）。</w:t>
      </w:r>
    </w:p>
    <w:p w14:paraId="56D6F69B">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专业分包单位需要提供合同总额3%的工人工资支付保函。</w:t>
      </w:r>
    </w:p>
    <w:p w14:paraId="7BFD3F7D">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十一、采购文件获取：</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szCs w:val="21"/>
        </w:rPr>
        <w:t>公司官网（http:</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/www.dggcc.cn）</w:t>
      </w:r>
      <w:r>
        <w:rPr>
          <w:rFonts w:hint="eastAsia" w:ascii="仿宋_GB2312" w:hAnsi="仿宋_GB2312" w:eastAsia="仿宋_GB2312" w:cs="仿宋_GB2312"/>
          <w:kern w:val="0"/>
          <w:szCs w:val="21"/>
        </w:rPr>
        <w:t>。</w:t>
      </w:r>
    </w:p>
    <w:p w14:paraId="4B44281B">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十二、其他及特别内容说明：</w:t>
      </w:r>
    </w:p>
    <w:p w14:paraId="0A2CACDD">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1、</w:t>
      </w:r>
      <w:r>
        <w:rPr>
          <w:rFonts w:hint="eastAsia" w:ascii="仿宋_GB2312" w:hAnsi="仿宋_GB2312" w:eastAsia="仿宋_GB2312" w:cs="仿宋_GB2312"/>
          <w:kern w:val="0"/>
          <w:szCs w:val="21"/>
        </w:rPr>
        <w:t>参考品牌（同等或优于）：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具体详见附件（材料设备品牌明细表）</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；进场需经采购人审核同意方可使用。</w:t>
      </w:r>
    </w:p>
    <w:p w14:paraId="655F929F">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2、</w:t>
      </w:r>
      <w:r>
        <w:rPr>
          <w:rFonts w:hint="eastAsia" w:ascii="仿宋_GB2312" w:hAnsi="仿宋_GB2312" w:eastAsia="仿宋_GB2312" w:cs="仿宋_GB2312"/>
          <w:bCs/>
          <w:color w:val="auto"/>
          <w:szCs w:val="21"/>
          <w:highlight w:val="none"/>
        </w:rPr>
        <w:t>工程质量标准为</w:t>
      </w:r>
      <w:r>
        <w:rPr>
          <w:rFonts w:hint="eastAsia" w:ascii="仿宋_GB2312" w:hAnsi="仿宋_GB2312" w:eastAsia="仿宋_GB2312" w:cs="仿宋_GB2312"/>
          <w:bCs w:val="0"/>
          <w:color w:val="FF0000"/>
          <w:kern w:val="0"/>
          <w:szCs w:val="21"/>
          <w:highlight w:val="none"/>
        </w:rPr>
        <w:t>：</w:t>
      </w:r>
      <w:r>
        <w:rPr>
          <w:rFonts w:hint="eastAsia" w:ascii="仿宋_GB2312" w:hAnsi="仿宋_GB2312" w:eastAsia="仿宋_GB2312" w:cs="仿宋_GB2312"/>
          <w:b w:val="0"/>
          <w:bCs w:val="0"/>
          <w:color w:val="FF0000"/>
          <w:kern w:val="0"/>
          <w:sz w:val="21"/>
          <w:szCs w:val="21"/>
          <w:u w:val="none"/>
          <w:lang w:val="en-US" w:eastAsia="zh-CN"/>
        </w:rPr>
        <w:t>达到国家或行业质量检验评定的合格标准，获评广东省建设工程优质奖， 争创国家优质工程奖及鲁班奖，否则按违约条款处罚</w:t>
      </w:r>
      <w:r>
        <w:rPr>
          <w:rFonts w:hint="eastAsia" w:ascii="仿宋_GB2312" w:hAnsi="仿宋_GB2312" w:eastAsia="仿宋_GB2312" w:cs="仿宋_GB2312"/>
          <w:color w:val="FF0000"/>
          <w:kern w:val="0"/>
          <w:sz w:val="21"/>
          <w:szCs w:val="21"/>
          <w:lang w:val="en-US" w:eastAsia="zh-CN"/>
        </w:rPr>
        <w:t>。</w:t>
      </w:r>
    </w:p>
    <w:p w14:paraId="3B59FBE2">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十三、有关此次采购答疑事宜，按下列地址以书面或电话形式向采购人查询：  </w:t>
      </w:r>
    </w:p>
    <w:p w14:paraId="4B22F699">
      <w:pPr>
        <w:widowControl/>
        <w:snapToGrid w:val="0"/>
        <w:spacing w:line="360" w:lineRule="auto"/>
        <w:ind w:firstLine="840" w:firstLineChars="400"/>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采购人：</w:t>
      </w:r>
      <w:r>
        <w:rPr>
          <w:rFonts w:hint="eastAsia" w:ascii="仿宋_GB2312" w:hAnsi="仿宋_GB2312" w:eastAsia="仿宋_GB2312" w:cs="仿宋_GB2312"/>
          <w:kern w:val="0"/>
          <w:szCs w:val="21"/>
          <w:lang w:eastAsia="zh-CN"/>
        </w:rPr>
        <w:t>东莞市城市工程建设集团有限公司</w:t>
      </w:r>
    </w:p>
    <w:p w14:paraId="2C991EF4">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地址：东莞市南城区城市风景街8栋</w:t>
      </w:r>
      <w:r>
        <w:rPr>
          <w:rFonts w:hint="eastAsia" w:ascii="仿宋_GB2312" w:hAnsi="仿宋_GB2312" w:eastAsia="仿宋_GB2312" w:cs="仿宋_GB2312"/>
          <w:kern w:val="0"/>
          <w:szCs w:val="21"/>
          <w:lang w:val="en-US" w:eastAsia="zh-CN"/>
        </w:rPr>
        <w:t>4</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eastAsia="zh-CN"/>
        </w:rPr>
        <w:t>城工集团</w:t>
      </w:r>
      <w:r>
        <w:rPr>
          <w:rFonts w:hint="eastAsia" w:ascii="仿宋_GB2312" w:hAnsi="仿宋_GB2312" w:eastAsia="仿宋_GB2312" w:cs="仿宋_GB2312"/>
          <w:kern w:val="0"/>
          <w:szCs w:val="21"/>
        </w:rPr>
        <w:t>。</w:t>
      </w:r>
    </w:p>
    <w:p w14:paraId="6CFA6CC2">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联系人：</w:t>
      </w:r>
      <w:r>
        <w:rPr>
          <w:rFonts w:hint="eastAsia" w:ascii="仿宋_GB2312" w:hAnsi="仿宋_GB2312" w:eastAsia="仿宋_GB2312" w:cs="仿宋_GB2312"/>
          <w:kern w:val="0"/>
          <w:szCs w:val="21"/>
          <w:lang w:val="en-US" w:eastAsia="zh-CN"/>
        </w:rPr>
        <w:t>黄</w:t>
      </w:r>
      <w:r>
        <w:rPr>
          <w:rFonts w:hint="eastAsia" w:ascii="仿宋_GB2312" w:hAnsi="仿宋_GB2312" w:eastAsia="仿宋_GB2312" w:cs="仿宋_GB2312"/>
          <w:kern w:val="0"/>
          <w:szCs w:val="21"/>
        </w:rPr>
        <w:t>工                   邮政编码：523000</w:t>
      </w:r>
    </w:p>
    <w:p w14:paraId="2ED44992">
      <w:pPr>
        <w:widowControl/>
        <w:snapToGrid w:val="0"/>
        <w:spacing w:line="360" w:lineRule="auto"/>
        <w:ind w:firstLine="840" w:firstLineChars="400"/>
        <w:jc w:val="lef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联系方式：</w:t>
      </w:r>
      <w:r>
        <w:rPr>
          <w:rFonts w:hint="eastAsia" w:ascii="仿宋_GB2312" w:hAnsi="仿宋_GB2312" w:eastAsia="仿宋_GB2312" w:cs="仿宋_GB2312"/>
          <w:kern w:val="0"/>
          <w:szCs w:val="21"/>
          <w:lang w:val="en-US" w:eastAsia="zh-CN"/>
        </w:rPr>
        <w:t>15017133726</w:t>
      </w:r>
      <w:r>
        <w:rPr>
          <w:rFonts w:hint="eastAsia" w:ascii="仿宋_GB2312" w:hAnsi="仿宋_GB2312" w:eastAsia="仿宋_GB2312" w:cs="仿宋_GB2312"/>
          <w:kern w:val="0"/>
          <w:szCs w:val="21"/>
        </w:rPr>
        <w:t xml:space="preserve">                   传真：0769-39009090</w:t>
      </w:r>
    </w:p>
    <w:p w14:paraId="7BA6031E">
      <w:pPr>
        <w:widowControl/>
        <w:snapToGrid w:val="0"/>
        <w:spacing w:line="360" w:lineRule="auto"/>
        <w:ind w:firstLine="840" w:firstLineChars="400"/>
        <w:jc w:val="left"/>
        <w:rPr>
          <w:rFonts w:hint="eastAsia" w:ascii="仿宋_GB2312" w:hAnsi="仿宋_GB2312" w:eastAsia="仿宋_GB2312" w:cs="仿宋_GB2312"/>
          <w:kern w:val="0"/>
          <w:szCs w:val="21"/>
        </w:rPr>
      </w:pPr>
    </w:p>
    <w:p w14:paraId="452C64CD">
      <w:pPr>
        <w:widowControl/>
        <w:snapToGrid w:val="0"/>
        <w:spacing w:line="360" w:lineRule="auto"/>
        <w:ind w:firstLine="840" w:firstLineChars="400"/>
        <w:jc w:val="left"/>
        <w:rPr>
          <w:rFonts w:hint="eastAsia" w:ascii="仿宋_GB2312" w:hAnsi="仿宋_GB2312" w:eastAsia="仿宋_GB2312" w:cs="仿宋_GB2312"/>
          <w:kern w:val="0"/>
          <w:szCs w:val="21"/>
        </w:rPr>
      </w:pPr>
    </w:p>
    <w:p w14:paraId="08AE9BC7">
      <w:pPr>
        <w:widowControl/>
        <w:snapToGrid w:val="0"/>
        <w:spacing w:line="360" w:lineRule="auto"/>
        <w:ind w:firstLine="840" w:firstLineChars="400"/>
        <w:jc w:val="left"/>
        <w:rPr>
          <w:rFonts w:hint="eastAsia" w:ascii="仿宋_GB2312" w:hAnsi="仿宋_GB2312" w:eastAsia="仿宋_GB2312" w:cs="仿宋_GB2312"/>
          <w:kern w:val="0"/>
          <w:szCs w:val="21"/>
        </w:rPr>
      </w:pPr>
    </w:p>
    <w:p w14:paraId="69096999">
      <w:pPr>
        <w:widowControl/>
        <w:snapToGrid w:val="0"/>
        <w:spacing w:line="360" w:lineRule="auto"/>
        <w:ind w:firstLine="840" w:firstLineChars="400"/>
        <w:jc w:val="left"/>
        <w:rPr>
          <w:rFonts w:hint="eastAsia" w:ascii="仿宋_GB2312" w:hAnsi="仿宋_GB2312" w:eastAsia="仿宋_GB2312" w:cs="仿宋_GB2312"/>
          <w:kern w:val="0"/>
          <w:szCs w:val="21"/>
        </w:rPr>
      </w:pPr>
    </w:p>
    <w:p w14:paraId="12DD2F2C">
      <w:pPr>
        <w:widowControl/>
        <w:snapToGrid w:val="0"/>
        <w:spacing w:line="360" w:lineRule="auto"/>
        <w:ind w:firstLine="640"/>
        <w:jc w:val="right"/>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东莞市城市工程建设集团有限公司</w:t>
      </w:r>
    </w:p>
    <w:p w14:paraId="2D2CE2B3">
      <w:pPr>
        <w:jc w:val="right"/>
      </w:pPr>
      <w:r>
        <w:rPr>
          <w:rFonts w:hint="eastAsia" w:ascii="仿宋_GB2312" w:hAnsi="仿宋_GB2312" w:eastAsia="仿宋_GB2312" w:cs="仿宋_GB2312"/>
          <w:kern w:val="0"/>
          <w:szCs w:val="21"/>
        </w:rPr>
        <w:t xml:space="preserve">    </w:t>
      </w:r>
      <w:r>
        <w:rPr>
          <w:rFonts w:hint="eastAsia" w:ascii="仿宋_GB2312" w:hAnsi="仿宋_GB2312" w:eastAsia="仿宋_GB2312" w:cs="仿宋_GB2312"/>
          <w:kern w:val="0"/>
          <w:szCs w:val="21"/>
          <w:lang w:val="en-US" w:eastAsia="zh-CN"/>
        </w:rPr>
        <w:t>2025</w:t>
      </w:r>
      <w:r>
        <w:rPr>
          <w:rFonts w:hint="eastAsia" w:ascii="仿宋_GB2312" w:hAnsi="仿宋_GB2312" w:eastAsia="仿宋_GB2312" w:cs="仿宋_GB2312"/>
          <w:kern w:val="0"/>
          <w:szCs w:val="21"/>
        </w:rPr>
        <w:t xml:space="preserve"> 年 </w:t>
      </w:r>
      <w:r>
        <w:rPr>
          <w:rFonts w:hint="eastAsia" w:ascii="仿宋_GB2312" w:hAnsi="仿宋_GB2312" w:eastAsia="仿宋_GB2312" w:cs="仿宋_GB2312"/>
          <w:kern w:val="0"/>
          <w:szCs w:val="21"/>
          <w:lang w:val="en-US" w:eastAsia="zh-CN"/>
        </w:rPr>
        <w:t>06</w:t>
      </w:r>
      <w:r>
        <w:rPr>
          <w:rFonts w:hint="eastAsia" w:ascii="仿宋_GB2312" w:hAnsi="仿宋_GB2312" w:eastAsia="仿宋_GB2312" w:cs="仿宋_GB2312"/>
          <w:kern w:val="0"/>
          <w:szCs w:val="21"/>
        </w:rPr>
        <w:t xml:space="preserve">  月  </w:t>
      </w:r>
      <w:r>
        <w:rPr>
          <w:rFonts w:hint="eastAsia" w:ascii="仿宋_GB2312" w:hAnsi="仿宋_GB2312" w:eastAsia="仿宋_GB2312" w:cs="仿宋_GB2312"/>
          <w:kern w:val="0"/>
          <w:szCs w:val="21"/>
          <w:lang w:val="en-US" w:eastAsia="zh-CN"/>
        </w:rPr>
        <w:t>20</w:t>
      </w:r>
      <w:r>
        <w:rPr>
          <w:rFonts w:hint="eastAsia" w:ascii="仿宋_GB2312" w:hAnsi="仿宋_GB2312" w:eastAsia="仿宋_GB2312" w:cs="仿宋_GB2312"/>
          <w:kern w:val="0"/>
          <w:szCs w:val="21"/>
        </w:rPr>
        <w:t xml:space="preserve">   日 </w:t>
      </w:r>
      <w:bookmarkEnd w:id="19"/>
      <w:r>
        <w:rPr>
          <w:rFonts w:hint="eastAsia" w:ascii="仿宋_GB2312" w:hAnsi="仿宋_GB2312" w:eastAsia="仿宋_GB2312" w:cs="仿宋_GB2312"/>
          <w:kern w:val="0"/>
          <w:szCs w:val="21"/>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abstractNum w:abstractNumId="1">
    <w:nsid w:val="79937DD7"/>
    <w:multiLevelType w:val="singleLevel"/>
    <w:tmpl w:val="79937DD7"/>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000000"/>
    <w:rsid w:val="078A001F"/>
    <w:rsid w:val="1C221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1740</Words>
  <Characters>1895</Characters>
  <Lines>0</Lines>
  <Paragraphs>0</Paragraphs>
  <TotalTime>1</TotalTime>
  <ScaleCrop>false</ScaleCrop>
  <LinksUpToDate>false</LinksUpToDate>
  <CharactersWithSpaces>2062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2025-06-20T06:23:00Z</dcterms:created>
  <dc:creator>lenovo</dc:creator>
  <cp:lastModifiedBy>黄惠东</cp:lastModifiedBy>
  <dcterms:modified xsi:type="dcterms:W3CDTF">2025-06-20T06:58:04Z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F01A069EC4D14F16A2CB5DED68BAA7DF_12</vt:lpwstr>
  </property>
</Properties>
</file>