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jc w:val="center"/>
        <w:rPr>
          <w:rFonts w:ascii="仿宋" w:hAnsi="仿宋" w:eastAsia="仿宋" w:cs="仿宋"/>
          <w:b/>
          <w:sz w:val="36"/>
          <w:szCs w:val="36"/>
        </w:rPr>
      </w:pPr>
      <w:bookmarkStart w:id="0" w:name="OLE_LINK1"/>
      <w:bookmarkStart w:id="1" w:name="OLE_LINK2"/>
      <w:r>
        <w:rPr>
          <w:rFonts w:hint="eastAsia" w:ascii="仿宋" w:hAnsi="仿宋" w:eastAsia="仿宋" w:cs="仿宋"/>
          <w:b/>
          <w:sz w:val="36"/>
          <w:szCs w:val="36"/>
          <w:lang w:val="en-US" w:eastAsia="zh-CN"/>
        </w:rPr>
        <w:t>给排水工程材料</w:t>
      </w:r>
      <w:r>
        <w:rPr>
          <w:rFonts w:hint="eastAsia" w:ascii="仿宋" w:hAnsi="仿宋" w:eastAsia="仿宋" w:cs="仿宋"/>
          <w:b/>
          <w:sz w:val="36"/>
          <w:szCs w:val="36"/>
        </w:rPr>
        <w:t>采购用户需求书</w:t>
      </w:r>
    </w:p>
    <w:p w14:paraId="54F00727">
      <w:pPr>
        <w:pStyle w:val="3"/>
        <w:widowControl/>
        <w:spacing w:beforeAutospacing="0"/>
        <w:rPr>
          <w:rFonts w:hint="default" w:ascii="仿宋" w:hAnsi="仿宋" w:eastAsia="仿宋" w:cs="仿宋"/>
          <w:sz w:val="28"/>
          <w:szCs w:val="28"/>
        </w:rPr>
      </w:pPr>
      <w:r>
        <w:rPr>
          <w:rStyle w:val="11"/>
          <w:rFonts w:ascii="仿宋" w:hAnsi="仿宋" w:eastAsia="仿宋" w:cs="仿宋"/>
          <w:b/>
          <w:bCs/>
          <w:sz w:val="28"/>
          <w:szCs w:val="28"/>
        </w:rPr>
        <w:t>一、工程概况</w:t>
      </w:r>
    </w:p>
    <w:p w14:paraId="48CF91FD">
      <w:pPr>
        <w:pStyle w:val="7"/>
        <w:spacing w:before="0" w:beforeAutospacing="0" w:after="0" w:afterAutospacing="0" w:line="360" w:lineRule="auto"/>
        <w:ind w:firstLine="482" w:firstLineChars="200"/>
        <w:rPr>
          <w:rFonts w:ascii="仿宋" w:hAnsi="仿宋" w:eastAsia="仿宋" w:cs="仿宋"/>
        </w:rPr>
      </w:pPr>
      <w:r>
        <w:rPr>
          <w:rStyle w:val="11"/>
          <w:rFonts w:hint="eastAsia" w:ascii="仿宋" w:hAnsi="仿宋" w:eastAsia="仿宋" w:cs="仿宋"/>
          <w:lang w:val="en-US" w:eastAsia="zh-CN"/>
        </w:rPr>
        <w:t>材料供应工程地点</w:t>
      </w:r>
      <w:r>
        <w:rPr>
          <w:rFonts w:hint="eastAsia" w:ascii="仿宋" w:hAnsi="仿宋" w:eastAsia="仿宋" w:cs="仿宋"/>
        </w:rPr>
        <w:t>：东莞市石龙镇产业基地配套路网交通综合整治项目-外环连接线工程</w:t>
      </w:r>
      <w:r>
        <w:rPr>
          <w:rFonts w:hint="eastAsia" w:ascii="仿宋" w:hAnsi="仿宋" w:eastAsia="仿宋" w:cs="仿宋"/>
          <w:lang w:val="en-US" w:eastAsia="zh-CN"/>
        </w:rPr>
        <w:t>项目</w:t>
      </w:r>
      <w:r>
        <w:rPr>
          <w:rFonts w:hint="eastAsia" w:ascii="仿宋" w:hAnsi="仿宋" w:eastAsia="仿宋" w:cs="仿宋"/>
          <w:lang w:eastAsia="zh-CN"/>
        </w:rPr>
        <w:t>（</w:t>
      </w:r>
      <w:r>
        <w:rPr>
          <w:rFonts w:hint="eastAsia" w:ascii="仿宋" w:hAnsi="仿宋" w:eastAsia="仿宋" w:cs="仿宋"/>
          <w:lang w:val="en-US" w:eastAsia="zh-CN"/>
        </w:rPr>
        <w:t>东莞市石龙镇</w:t>
      </w:r>
      <w:r>
        <w:rPr>
          <w:rFonts w:hint="eastAsia" w:ascii="仿宋" w:hAnsi="仿宋" w:eastAsia="仿宋" w:cs="仿宋"/>
          <w:lang w:eastAsia="zh-CN"/>
        </w:rPr>
        <w:t>）</w:t>
      </w:r>
      <w:r>
        <w:rPr>
          <w:rFonts w:hint="eastAsia" w:ascii="仿宋" w:hAnsi="仿宋" w:eastAsia="仿宋" w:cs="仿宋"/>
        </w:rPr>
        <w:t>。</w:t>
      </w:r>
    </w:p>
    <w:p w14:paraId="6D4FE416">
      <w:pPr>
        <w:pStyle w:val="7"/>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bookmarkStart w:id="2" w:name="OLE_LINK24"/>
      <w:bookmarkStart w:id="3" w:name="OLE_LINK23"/>
      <w:bookmarkStart w:id="4" w:name="OLE_LINK13"/>
      <w:bookmarkStart w:id="5" w:name="OLE_LINK14"/>
    </w:p>
    <w:tbl>
      <w:tblPr>
        <w:tblStyle w:val="8"/>
        <w:tblW w:w="88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0"/>
        <w:gridCol w:w="2985"/>
        <w:gridCol w:w="2820"/>
        <w:gridCol w:w="885"/>
        <w:gridCol w:w="1500"/>
      </w:tblGrid>
      <w:tr w14:paraId="7008A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610" w:type="dxa"/>
            <w:tcBorders>
              <w:top w:val="single" w:color="000000" w:sz="4" w:space="0"/>
              <w:left w:val="single" w:color="000000" w:sz="4" w:space="0"/>
              <w:bottom w:val="nil"/>
              <w:right w:val="single" w:color="000000" w:sz="4" w:space="0"/>
            </w:tcBorders>
            <w:shd w:val="clear" w:color="auto" w:fill="auto"/>
            <w:vAlign w:val="center"/>
          </w:tcPr>
          <w:p w14:paraId="12B29A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2985" w:type="dxa"/>
            <w:tcBorders>
              <w:top w:val="single" w:color="000000" w:sz="4" w:space="0"/>
              <w:left w:val="single" w:color="000000" w:sz="4" w:space="0"/>
              <w:bottom w:val="nil"/>
              <w:right w:val="single" w:color="000000" w:sz="4" w:space="0"/>
            </w:tcBorders>
            <w:shd w:val="clear" w:color="auto" w:fill="auto"/>
            <w:vAlign w:val="center"/>
          </w:tcPr>
          <w:p w14:paraId="147BD9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w:t>
            </w:r>
          </w:p>
        </w:tc>
        <w:tc>
          <w:tcPr>
            <w:tcW w:w="2820" w:type="dxa"/>
            <w:tcBorders>
              <w:top w:val="single" w:color="000000" w:sz="4" w:space="0"/>
              <w:left w:val="single" w:color="000000" w:sz="4" w:space="0"/>
              <w:bottom w:val="nil"/>
              <w:right w:val="single" w:color="000000" w:sz="4" w:space="0"/>
            </w:tcBorders>
            <w:shd w:val="clear" w:color="auto" w:fill="auto"/>
            <w:vAlign w:val="center"/>
          </w:tcPr>
          <w:p w14:paraId="7F8963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规格、型号</w:t>
            </w:r>
          </w:p>
        </w:tc>
        <w:tc>
          <w:tcPr>
            <w:tcW w:w="885" w:type="dxa"/>
            <w:tcBorders>
              <w:top w:val="single" w:color="000000" w:sz="4" w:space="0"/>
              <w:left w:val="single" w:color="000000" w:sz="4" w:space="0"/>
              <w:bottom w:val="nil"/>
              <w:right w:val="single" w:color="000000" w:sz="4" w:space="0"/>
            </w:tcBorders>
            <w:shd w:val="clear" w:color="auto" w:fill="auto"/>
            <w:vAlign w:val="center"/>
          </w:tcPr>
          <w:p w14:paraId="68BC1E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962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数量（暂定）</w:t>
            </w:r>
          </w:p>
        </w:tc>
      </w:tr>
      <w:tr w14:paraId="163C2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7676A">
            <w:pPr>
              <w:jc w:val="center"/>
              <w:rPr>
                <w:rFonts w:hint="eastAsia" w:ascii="宋体" w:hAnsi="宋体" w:eastAsia="宋体" w:cs="宋体"/>
                <w:i w:val="0"/>
                <w:iCs w:val="0"/>
                <w:color w:val="000000"/>
                <w:sz w:val="18"/>
                <w:szCs w:val="18"/>
                <w:u w:val="none"/>
              </w:rPr>
            </w:pP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C5492">
            <w:pPr>
              <w:jc w:val="center"/>
              <w:rPr>
                <w:rFonts w:hint="eastAsia" w:ascii="宋体" w:hAnsi="宋体" w:eastAsia="宋体" w:cs="宋体"/>
                <w:i w:val="0"/>
                <w:iCs w:val="0"/>
                <w:color w:val="000000"/>
                <w:sz w:val="18"/>
                <w:szCs w:val="18"/>
                <w:u w:val="none"/>
              </w:rPr>
            </w:pP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FCF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室外给排水材料工程</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8CC74">
            <w:pPr>
              <w:jc w:val="center"/>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85AC">
            <w:pPr>
              <w:jc w:val="center"/>
              <w:rPr>
                <w:rFonts w:hint="eastAsia" w:ascii="宋体" w:hAnsi="宋体" w:eastAsia="宋体" w:cs="宋体"/>
                <w:i w:val="0"/>
                <w:iCs w:val="0"/>
                <w:color w:val="000000"/>
                <w:sz w:val="18"/>
                <w:szCs w:val="18"/>
                <w:u w:val="none"/>
              </w:rPr>
            </w:pPr>
          </w:p>
        </w:tc>
      </w:tr>
      <w:tr w14:paraId="7F669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64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F5E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橡胶圈</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52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d400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D1E7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DD4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r>
      <w:tr w14:paraId="6224F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BCE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6A5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橡胶圈</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F43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d500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E61E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0D2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r>
      <w:tr w14:paraId="78FD9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635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668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橡胶圈</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939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d600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297C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401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r>
      <w:tr w14:paraId="2B450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0C7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40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橡胶圈</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F0E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d700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4B26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E4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r>
      <w:tr w14:paraId="51AF7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20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59E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橡胶圈</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31D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d800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4DDF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00C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r>
      <w:tr w14:paraId="7C0EC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E24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BA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橡胶圈</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CAB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d200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479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052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r>
      <w:tr w14:paraId="34A50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DF6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DC0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橡胶圈</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9FC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d300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674B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BD2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r>
      <w:tr w14:paraId="6ECED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50D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14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橡胶密封圈(排水) DN100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AFFDC">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59A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54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14:paraId="4FD8F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89C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38E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煤焦油沥清漆</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C9F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L01-17</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6B1D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C2E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27.25</w:t>
            </w:r>
          </w:p>
        </w:tc>
      </w:tr>
      <w:tr w14:paraId="37BB2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A88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50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HDPE给水管 DN100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6CAAD">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548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B74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194.97</w:t>
            </w:r>
          </w:p>
        </w:tc>
      </w:tr>
      <w:tr w14:paraId="38E40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8DC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E37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热镀锌钢管DN80 δ=4.0mm</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8C65B">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699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AD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95.72</w:t>
            </w:r>
          </w:p>
        </w:tc>
      </w:tr>
      <w:tr w14:paraId="4691A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2F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F58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热镀锌钢管DN100 δ=4.0mm</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B0111">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3C89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FC3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86.13</w:t>
            </w:r>
          </w:p>
        </w:tc>
      </w:tr>
      <w:tr w14:paraId="457C5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DC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978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热镀锌钢管DN150 δ=4.5mm</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F4A1">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9B60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78B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125.65</w:t>
            </w:r>
          </w:p>
        </w:tc>
      </w:tr>
      <w:tr w14:paraId="3D88B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0D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014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球墨铸铁排水管</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5F3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413F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FBC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6.95</w:t>
            </w:r>
          </w:p>
        </w:tc>
      </w:tr>
      <w:tr w14:paraId="07670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312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6D6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PE100给水管DN20，PN=1.6MPa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84D84">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74BDB">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4FA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528.9</w:t>
            </w:r>
          </w:p>
        </w:tc>
      </w:tr>
      <w:tr w14:paraId="77DDC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E23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083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PE100给水管DN50，PN=1.6MPa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BB951">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5546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9FF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796.53</w:t>
            </w:r>
          </w:p>
        </w:tc>
      </w:tr>
      <w:tr w14:paraId="48DBE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C6A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68D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PE100给水管DN32，PN=1.6MPa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6A84D">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6498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E6C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448.81</w:t>
            </w:r>
          </w:p>
        </w:tc>
      </w:tr>
      <w:tr w14:paraId="1C370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5B8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FAD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PE100给水管DN25，PN=1.6MPa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D0996">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126B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58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339.37</w:t>
            </w:r>
          </w:p>
        </w:tc>
      </w:tr>
      <w:tr w14:paraId="53B81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50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BF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PE100给水管DN40，PN=1.6MPa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308C8">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10D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A9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497.38</w:t>
            </w:r>
          </w:p>
        </w:tc>
      </w:tr>
      <w:tr w14:paraId="1EBF9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D0D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BB1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PE100给水管DN50，PN=1.6MPa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2433">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061D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731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1412.93</w:t>
            </w:r>
          </w:p>
        </w:tc>
      </w:tr>
      <w:tr w14:paraId="4EBA1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6ED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EBE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PE100给水管DN65，PN=1.6MPa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F6F8">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9132B">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6A8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27.75</w:t>
            </w:r>
          </w:p>
        </w:tc>
      </w:tr>
      <w:tr w14:paraId="2BED8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CD0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488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PE100给水管DN80，PN=1.6MPa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E6B67">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EA9C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61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342.7</w:t>
            </w:r>
          </w:p>
        </w:tc>
      </w:tr>
      <w:tr w14:paraId="22F42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85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2D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PE100给水管DN100，PN=1.6MPa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EBF43">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476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6BA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2562.48</w:t>
            </w:r>
          </w:p>
        </w:tc>
      </w:tr>
      <w:tr w14:paraId="7E7F8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C9F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433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Ⅱ级钢筋混凝土承插口排水管</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4E4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d400X40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647B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4DC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30.75</w:t>
            </w:r>
          </w:p>
        </w:tc>
      </w:tr>
      <w:tr w14:paraId="6706A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5A6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9D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Ⅱ级钢筋混凝土承插口排水管</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9CA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d500X50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9EBE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A87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17.54</w:t>
            </w:r>
          </w:p>
        </w:tc>
      </w:tr>
      <w:tr w14:paraId="25A44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355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D85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Ⅱ级钢筋混凝土承插口排水管</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8D6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d600X60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D99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D48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27.16</w:t>
            </w:r>
          </w:p>
        </w:tc>
      </w:tr>
      <w:tr w14:paraId="74CFF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416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8E4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Ⅱ级钢筋混凝土承插口排水管</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908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d700X70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7A39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ABA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38.38</w:t>
            </w:r>
          </w:p>
        </w:tc>
      </w:tr>
      <w:tr w14:paraId="0A946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7A7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994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Ⅱ级钢筋混凝土承插口排水管</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FC4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d800X80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FCC2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936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r>
      <w:tr w14:paraId="772E2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018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E53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Ⅱ级钢筋混凝土承插口排水管</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758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d200X30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380E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E47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68.53</w:t>
            </w:r>
          </w:p>
        </w:tc>
      </w:tr>
      <w:tr w14:paraId="10BBA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B3E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1ED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Ⅱ级钢筋混凝土承插口排水管</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38C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d300X30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2E27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097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174.82</w:t>
            </w:r>
          </w:p>
        </w:tc>
      </w:tr>
      <w:tr w14:paraId="0D2A1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9A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587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室外塑料给水管热熔管件 DN20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85444">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0E24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56F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w:t>
            </w:r>
          </w:p>
        </w:tc>
      </w:tr>
      <w:tr w14:paraId="34254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A98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971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室外塑料给水管热熔管件 DN32</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472E9">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F9C9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E2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w:t>
            </w:r>
          </w:p>
        </w:tc>
      </w:tr>
      <w:tr w14:paraId="3F0DD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CD7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334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室外塑料给水管热熔管件 DN25</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12B74">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93FE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04D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r>
      <w:tr w14:paraId="48C26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66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DEE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室外塑料给水管热熔管件 DN40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27EDE">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9711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49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r>
      <w:tr w14:paraId="656D4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D74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3A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室外塑料给水管热熔管件 DN50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58D44">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B67D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504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389</w:t>
            </w:r>
          </w:p>
        </w:tc>
      </w:tr>
      <w:tr w14:paraId="68F65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765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D49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室外塑料给水管热熔管件 DN65</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E530E">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72A12">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08A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r>
      <w:tr w14:paraId="386EE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4E0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E31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室外塑料给水管热熔管件 DN80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3E6E7">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4B30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746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r>
      <w:tr w14:paraId="778FD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5B7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888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室外塑料给水管热熔管件 DN100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8C59F">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CEE4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B73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742</w:t>
            </w:r>
          </w:p>
        </w:tc>
      </w:tr>
      <w:tr w14:paraId="20A2D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02C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E06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室外塑料给水管热熔管件 DN50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01111">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4BDFB">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CAA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r>
      <w:tr w14:paraId="41403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643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192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铸铁法兰Y型过滤器DN80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DF070">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B642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175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r>
      <w:tr w14:paraId="7C365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85F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445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铸铁法兰Y型过滤器DN100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F32B3">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F67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7C5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14:paraId="48FEE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93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5B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千秋架</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3517E">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D060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8AA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594</w:t>
            </w:r>
          </w:p>
        </w:tc>
      </w:tr>
      <w:tr w14:paraId="07C76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640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7D2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铜截止阀 DN20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B88A8">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1111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2BD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r>
      <w:tr w14:paraId="0750A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810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3C0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铜截止阀 DN50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E6F6D">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6443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43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r>
      <w:tr w14:paraId="07D22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D00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A8A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铜截止阀 DN25</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B0E54">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12C8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B9B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r>
      <w:tr w14:paraId="7353D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F55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65D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真空破坏器</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32D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DN50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351A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ADC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r>
      <w:tr w14:paraId="060C2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14D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9AE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铸铁法兰闸阀 DN80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9CCB2">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4D76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6E8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47A88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D93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698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铸铁法兰闸阀 DN100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95C9A">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5001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5E1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r>
      <w:tr w14:paraId="34BEF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690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BDA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铸铁法兰闸阀DN80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FF23E">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2108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2D9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r>
      <w:tr w14:paraId="0395E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03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B8A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铸铁法兰闸阀DN100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4DB86">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022A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D55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r>
      <w:tr w14:paraId="0F482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484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672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铸铁管道倒流防止器DN80 双止回阀型</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D7934">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BE2DB">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09F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r>
      <w:tr w14:paraId="0E44C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6EC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6D3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铸铁管道倒流防止器DN100 双止回阀型</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93666">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9E27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53B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14:paraId="57F59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5D1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F94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铜快速取水器 DN20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64A15">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B61A2">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E21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r>
      <w:tr w14:paraId="3DFBB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FB0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837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钢板平焊法兰 DN80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FA89E">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2FA5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4C3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350AF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585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6E4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钢板平焊法兰 DN100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3EE7D">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B413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86F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r>
      <w:tr w14:paraId="34C83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6DA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D2E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自动排气阀 DN25</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B25E6">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A62F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9B4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r>
      <w:tr w14:paraId="635B9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601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465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埋地散射微喷喷头1</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B27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LPS 10系列 DN15,自动伸缩型,喷射角度:180度,射程R=2.8~3.3m,压力:不宜小于0.2Mpa,半圆喷洒流量Q=0.25~0.27m3/h</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E52D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9D5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193</w:t>
            </w:r>
          </w:p>
        </w:tc>
      </w:tr>
      <w:tr w14:paraId="43DED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404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B56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埋地散射微喷喷头2</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DD2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LPS 10系列 DN15,自动伸缩型,喷射角度:360度,射程R=2.8~3.3m,压力:不宜小于0.2Mpa,全圆喷洒流量Q=0.5~0.54m3/h</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3EF9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F8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r>
      <w:tr w14:paraId="527C6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8DD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4B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埋地散射微喷喷头3</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41C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LPS 17系列 DN15,自动伸缩型,喷射角度:180度,射程R=5m,压力:不宜小于0.2Mpa,半圆喷洒流量Q=0.5m3/h</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1D82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75C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r>
      <w:tr w14:paraId="6E52B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A92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7DD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埋地散射微喷喷头4</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22F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LPS 17系列 DN15,自动伸缩型,喷射角度:360度,射程R=5m,压力：不宜小于0.2Mpa,全圆喷洒流量Q=0.89m3/h</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4753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19A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r>
      <w:tr w14:paraId="49E6F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CA9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855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埋地散射微喷喷头5</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410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570Z 4S-SST列 DN15,自动伸缩型，喷射角度:矩形,射程1.2mX5.5m,压力:不宜小于0.2Mpa,喷洒流量Q=0.15m3/h</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6DC6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263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330</w:t>
            </w:r>
          </w:p>
        </w:tc>
      </w:tr>
      <w:tr w14:paraId="663F9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A09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6FD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DN80 无线远传智能水表</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ADF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NB-IoT LXLY-100-300，自带NB loT无线模块，自带电池，防护等级IP68</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BCF7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842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r>
      <w:tr w14:paraId="58885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A53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CFB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DN100 无线远传智能水表</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457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NB-IoT LXLY-100-300，自带NB loT无线模块，自带电池，防护等级IP68</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4AE0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5FE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14:paraId="27CB8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548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1CF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塑料圆形阀箱 VB-10RND 10”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CA513">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1618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CEC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w:t>
            </w:r>
          </w:p>
        </w:tc>
      </w:tr>
      <w:tr w14:paraId="62180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7A1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DAC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750X450X40厚花岗岩材料箅子及支座</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992C7">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7C38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937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14:paraId="51A57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F62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65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球墨井盖</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AC5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φ700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85C6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872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r>
      <w:tr w14:paraId="23895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E97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BF3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球墨井盖</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41D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φ700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FAB0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227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r>
      <w:tr w14:paraId="46F98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592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7C6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球墨铸铁井盖</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350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∅700承压等级:E600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2C82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5A2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r>
      <w:tr w14:paraId="165B3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81B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040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球墨铸铁井盖</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65A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∅700承压等级:C250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4936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72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r>
      <w:tr w14:paraId="2D6C2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DF3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B3D42">
            <w:pPr>
              <w:jc w:val="center"/>
              <w:rPr>
                <w:rFonts w:hint="eastAsia" w:ascii="宋体" w:hAnsi="宋体" w:eastAsia="宋体" w:cs="宋体"/>
                <w:i w:val="0"/>
                <w:iCs w:val="0"/>
                <w:color w:val="000000"/>
                <w:sz w:val="18"/>
                <w:szCs w:val="18"/>
                <w:u w:val="none"/>
              </w:rPr>
            </w:pP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5B1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公厕安装材料工程</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69E8C">
            <w:pPr>
              <w:jc w:val="center"/>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FD610">
            <w:pPr>
              <w:jc w:val="center"/>
              <w:rPr>
                <w:rFonts w:hint="eastAsia" w:ascii="宋体" w:hAnsi="宋体" w:eastAsia="宋体" w:cs="宋体"/>
                <w:i w:val="0"/>
                <w:iCs w:val="0"/>
                <w:color w:val="000000"/>
                <w:sz w:val="18"/>
                <w:szCs w:val="18"/>
                <w:u w:val="none"/>
              </w:rPr>
            </w:pPr>
          </w:p>
        </w:tc>
      </w:tr>
      <w:tr w14:paraId="70BAA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B7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33A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红外感应龙头</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CF436">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DB3C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AC2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r>
      <w:tr w14:paraId="38A18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4F2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1D5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水龙头</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419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DN15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C962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110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14:paraId="58F1E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B9A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26D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地漏DN75</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4DA47">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1272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33C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r>
      <w:tr w14:paraId="4350B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8FA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534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地漏DN100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82AD4">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68E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8F0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r>
      <w:tr w14:paraId="629AD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2F6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C1A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清扫口DN100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ECD7F">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B996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08B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r>
      <w:tr w14:paraId="59397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C40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678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PP-R给水管DN15，PN=1.6MPa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2BAA4">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55F8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B80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4.11</w:t>
            </w:r>
          </w:p>
        </w:tc>
      </w:tr>
      <w:tr w14:paraId="4A2EC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5F6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BD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PP-R给水管DN20，PN=1.6MPa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33535">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05C6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09D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9.13</w:t>
            </w:r>
          </w:p>
        </w:tc>
      </w:tr>
      <w:tr w14:paraId="7FFAD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239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0A8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PP-R给水管DN25，PN=1.6MPa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1BCC1">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B1F6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C1D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6.96</w:t>
            </w:r>
          </w:p>
        </w:tc>
      </w:tr>
      <w:tr w14:paraId="56BEE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5A0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46E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PP-R给水管DN32，PN=1.6MPa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0F2EC">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AF32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2BC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28.65</w:t>
            </w:r>
          </w:p>
        </w:tc>
      </w:tr>
      <w:tr w14:paraId="0382E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A38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7DF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PP-R给水管DN40，PN=1.6MPa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33712">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5F9F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BC1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33.74</w:t>
            </w:r>
          </w:p>
        </w:tc>
      </w:tr>
      <w:tr w14:paraId="74E90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345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FD5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PP-R给水管DN50，PN=1.6MPa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235BD">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77F8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A52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23.02</w:t>
            </w:r>
          </w:p>
        </w:tc>
      </w:tr>
      <w:tr w14:paraId="2D759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435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EAD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PP-R给水管DN65，PN=1.6MPa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B2672">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C442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F7A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5.97</w:t>
            </w:r>
          </w:p>
        </w:tc>
      </w:tr>
      <w:tr w14:paraId="5A90C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4E2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DD0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PP-R给水管DN80，PN=1.6MPa</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3FA0A">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66A2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347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8.59</w:t>
            </w:r>
          </w:p>
        </w:tc>
      </w:tr>
      <w:tr w14:paraId="6C21C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CB2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95F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UPVC排水管 DN100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7A926">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508A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3FD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138.19</w:t>
            </w:r>
          </w:p>
        </w:tc>
      </w:tr>
      <w:tr w14:paraId="62DE4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CC2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FDC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UPVC排水管 DN75</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31796">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C4B9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08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24.85</w:t>
            </w:r>
          </w:p>
        </w:tc>
      </w:tr>
      <w:tr w14:paraId="7B323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82B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F1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UPVC排水管 DN150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F65D7">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B7C3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09B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41.87</w:t>
            </w:r>
          </w:p>
        </w:tc>
      </w:tr>
      <w:tr w14:paraId="40156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023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636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UPVC排水管 DN40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C7EE7">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75D4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972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7.94</w:t>
            </w:r>
          </w:p>
        </w:tc>
      </w:tr>
      <w:tr w14:paraId="4503D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AD2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5B6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室内塑料雨水管件(粘接) DN100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94682">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398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6A2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22.53</w:t>
            </w:r>
          </w:p>
        </w:tc>
      </w:tr>
      <w:tr w14:paraId="7DD55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78D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DD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室内塑料排水管件 DN150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86B70">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B357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FD2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r>
      <w:tr w14:paraId="72552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53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B6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室内塑料排水管件 DN100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6A0F6">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7114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E19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w:t>
            </w:r>
          </w:p>
        </w:tc>
      </w:tr>
      <w:tr w14:paraId="3D3A1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FF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735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室内塑料排水管件 DN75</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D4CFE">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C2B0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537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r>
      <w:tr w14:paraId="01852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196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1A6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室内塑料排水管件 DN40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70438">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216F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937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r>
      <w:tr w14:paraId="7F51D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E68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492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室内塑料给水管接头零件(热熔接)DN15</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5065D">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0D29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AF4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r>
      <w:tr w14:paraId="2810D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E7D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96D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室内塑料给水管接头零件(热熔接) DN20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7B060">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59B8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002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r>
      <w:tr w14:paraId="071F9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52D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CBF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室内塑料给水管接头零件(热熔接) DN25</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CD3BD">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C37A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3D2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r>
      <w:tr w14:paraId="7EC35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565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415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室内塑料给水管接头零件(热熔接) DN32</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FA7F1">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B57D2">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546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r>
      <w:tr w14:paraId="7488D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528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38B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室内塑料给水管接头零件(热熔接) DN40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7562E">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D9D0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780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r>
      <w:tr w14:paraId="74A8C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56A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654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室内塑料给水管接头零件(热熔接) DN50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1C280">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190E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552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r>
      <w:tr w14:paraId="1E495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724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A23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室内塑料给水管接头零件(热熔接) DN65</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1814B">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2C68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641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r>
      <w:tr w14:paraId="5E82F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FF4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6D1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室内塑料给水管接头零件(热熔接) DN80</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9B49">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60522">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1EA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r>
      <w:tr w14:paraId="1EB3C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3FA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54A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洗脸盆</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1A1CE">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32B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34E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r>
      <w:tr w14:paraId="2FFDE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D9E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32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洗脸盆</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E3D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1000*450mm</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254C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775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r>
      <w:tr w14:paraId="5B476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BBC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958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成品拖把池</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EBD28">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5CAF2">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D9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14:paraId="37B96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A26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995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瓷蹲式大便器</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99D9F">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C5234">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B58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r>
      <w:tr w14:paraId="4924C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BFB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D05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连体式坐便器</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16D59">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744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A3C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14:paraId="67282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9E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43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立式小便器</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96157">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6F16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879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r>
      <w:tr w14:paraId="2F212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809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107</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750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饮水机</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3F5D8">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ED54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20D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48ED6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AFD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FE8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灭火器箱</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D55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(内含磷酸铵盐灭火器,手提式MF/ABC4X3,灭火器充装量:4kg</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74AF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16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14:paraId="5BEFB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902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w:t>
            </w:r>
          </w:p>
        </w:tc>
        <w:tc>
          <w:tcPr>
            <w:tcW w:w="2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ECA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埋入式感应控制器</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80968">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9BFD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D77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r>
    </w:tbl>
    <w:p w14:paraId="70442E56">
      <w:pPr>
        <w:pStyle w:val="7"/>
        <w:numPr>
          <w:ilvl w:val="0"/>
          <w:numId w:val="0"/>
        </w:numPr>
        <w:spacing w:before="0" w:beforeAutospacing="0" w:after="0" w:afterAutospacing="0" w:line="360" w:lineRule="auto"/>
        <w:rPr>
          <w:rFonts w:hint="eastAsia" w:ascii="仿宋" w:hAnsi="仿宋" w:eastAsia="仿宋" w:cs="仿宋"/>
          <w:lang w:val="en-US" w:eastAsia="zh-CN"/>
        </w:rPr>
      </w:pPr>
    </w:p>
    <w:bookmarkEnd w:id="2"/>
    <w:bookmarkEnd w:id="3"/>
    <w:p w14:paraId="0065C89D">
      <w:pPr>
        <w:pStyle w:val="7"/>
        <w:spacing w:before="0" w:beforeAutospacing="0" w:after="0" w:afterAutospacing="0" w:line="360" w:lineRule="auto"/>
        <w:ind w:firstLine="482" w:firstLineChars="200"/>
        <w:rPr>
          <w:rFonts w:ascii="仿宋" w:hAnsi="仿宋" w:eastAsia="仿宋" w:cs="仿宋"/>
        </w:rPr>
      </w:pPr>
      <w:r>
        <w:rPr>
          <w:rFonts w:hint="eastAsia" w:ascii="仿宋" w:hAnsi="仿宋" w:eastAsia="仿宋" w:cs="仿宋"/>
          <w:b/>
        </w:rPr>
        <w:t>完整具体工程量和施工内容以招标清单和项目进场后</w:t>
      </w:r>
      <w:r>
        <w:rPr>
          <w:rFonts w:hint="eastAsia" w:ascii="仿宋" w:hAnsi="仿宋" w:eastAsia="仿宋" w:cs="仿宋"/>
          <w:b/>
          <w:lang w:val="en-US" w:eastAsia="zh-CN"/>
        </w:rPr>
        <w:t>下发的采购单</w:t>
      </w:r>
      <w:r>
        <w:rPr>
          <w:rFonts w:hint="eastAsia" w:ascii="仿宋" w:hAnsi="仿宋" w:eastAsia="仿宋" w:cs="仿宋"/>
          <w:b/>
        </w:rPr>
        <w:t>为准。</w:t>
      </w:r>
    </w:p>
    <w:bookmarkEnd w:id="4"/>
    <w:bookmarkEnd w:id="5"/>
    <w:p w14:paraId="3BB2476F">
      <w:pPr>
        <w:pStyle w:val="7"/>
        <w:spacing w:before="0" w:beforeAutospacing="0" w:after="60" w:afterAutospacing="0" w:line="360" w:lineRule="auto"/>
        <w:rPr>
          <w:rFonts w:hint="eastAsia" w:ascii="仿宋" w:hAnsi="仿宋" w:eastAsia="仿宋" w:cs="仿宋"/>
        </w:rPr>
      </w:pPr>
      <w:r>
        <w:rPr>
          <w:rStyle w:val="11"/>
          <w:rFonts w:hint="eastAsia" w:ascii="仿宋" w:hAnsi="仿宋" w:eastAsia="仿宋" w:cs="仿宋"/>
          <w:lang w:val="en-US" w:eastAsia="zh-CN"/>
        </w:rPr>
        <w:t>供货周期</w:t>
      </w:r>
      <w:r>
        <w:rPr>
          <w:rFonts w:hint="eastAsia" w:ascii="仿宋" w:hAnsi="仿宋" w:eastAsia="仿宋" w:cs="仿宋"/>
        </w:rPr>
        <w:t>：</w:t>
      </w:r>
      <w:r>
        <w:rPr>
          <w:rFonts w:hint="eastAsia" w:ascii="宋体" w:hAnsi="宋体" w:eastAsia="宋体" w:cs="宋体"/>
          <w:color w:val="auto"/>
          <w:kern w:val="0"/>
          <w:sz w:val="21"/>
          <w:szCs w:val="21"/>
          <w:highlight w:val="none"/>
        </w:rPr>
        <w:t>所有产品供货期为</w:t>
      </w:r>
      <w:r>
        <w:rPr>
          <w:rFonts w:hint="eastAsia" w:ascii="宋体" w:hAnsi="宋体" w:eastAsia="宋体" w:cs="宋体"/>
          <w:color w:val="auto"/>
          <w:kern w:val="0"/>
          <w:sz w:val="21"/>
          <w:szCs w:val="21"/>
          <w:highlight w:val="none"/>
          <w:u w:val="single"/>
          <w:lang w:val="en-US" w:eastAsia="zh-CN"/>
        </w:rPr>
        <w:t>171</w:t>
      </w:r>
      <w:r>
        <w:rPr>
          <w:rFonts w:hint="eastAsia" w:ascii="宋体" w:hAnsi="宋体" w:eastAsia="宋体" w:cs="宋体"/>
          <w:color w:val="auto"/>
          <w:kern w:val="0"/>
          <w:sz w:val="21"/>
          <w:szCs w:val="21"/>
          <w:highlight w:val="none"/>
        </w:rPr>
        <w:t>个日历天</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lang w:val="en-US" w:eastAsia="zh-CN"/>
        </w:rPr>
        <w:t>具体送货、备货时间以项目部正式通知为准，乙方承诺无条件配合甲方项目部根据施工进度安排对产品供货期的调整</w:t>
      </w:r>
      <w:r>
        <w:rPr>
          <w:rFonts w:hint="eastAsia" w:ascii="宋体" w:hAnsi="宋体" w:eastAsia="宋体" w:cs="宋体"/>
          <w:color w:val="auto"/>
          <w:kern w:val="0"/>
          <w:sz w:val="21"/>
          <w:szCs w:val="21"/>
        </w:rPr>
        <w:t>。</w:t>
      </w:r>
    </w:p>
    <w:p w14:paraId="3C0E9666">
      <w:pPr>
        <w:pStyle w:val="3"/>
        <w:widowControl/>
        <w:spacing w:beforeAutospacing="0" w:after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二、</w:t>
      </w:r>
      <w:r>
        <w:rPr>
          <w:rFonts w:hint="eastAsia" w:ascii="仿宋" w:hAnsi="仿宋" w:eastAsia="仿宋"/>
          <w:b/>
          <w:sz w:val="28"/>
          <w:szCs w:val="28"/>
        </w:rPr>
        <w:t>材料</w:t>
      </w:r>
      <w:r>
        <w:rPr>
          <w:rFonts w:hint="eastAsia" w:ascii="仿宋" w:hAnsi="仿宋" w:eastAsia="仿宋"/>
          <w:b/>
          <w:sz w:val="28"/>
          <w:szCs w:val="28"/>
          <w:lang w:val="en-US" w:eastAsia="zh-CN"/>
        </w:rPr>
        <w:t>技术</w:t>
      </w:r>
      <w:r>
        <w:rPr>
          <w:rFonts w:hint="eastAsia" w:ascii="仿宋" w:hAnsi="仿宋" w:eastAsia="仿宋"/>
          <w:b/>
          <w:sz w:val="28"/>
          <w:szCs w:val="28"/>
        </w:rPr>
        <w:t>要求</w:t>
      </w:r>
    </w:p>
    <w:p w14:paraId="0F1FA731">
      <w:pPr>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符合设计图纸及合同要求</w:t>
      </w:r>
      <w:bookmarkStart w:id="6" w:name="_GoBack"/>
      <w:bookmarkEnd w:id="6"/>
      <w:r>
        <w:rPr>
          <w:rFonts w:hint="eastAsia" w:ascii="仿宋" w:hAnsi="仿宋" w:eastAsia="仿宋"/>
          <w:b/>
          <w:bCs/>
          <w:sz w:val="24"/>
          <w:lang w:val="en-US" w:eastAsia="zh-CN"/>
        </w:rPr>
        <w:t>‌</w:t>
      </w:r>
    </w:p>
    <w:p w14:paraId="30B07446">
      <w:pPr>
        <w:pStyle w:val="7"/>
        <w:spacing w:before="0" w:beforeAutospacing="0" w:after="0" w:afterAutospacing="0" w:line="360" w:lineRule="auto"/>
        <w:rPr>
          <w:rStyle w:val="11"/>
          <w:rFonts w:hint="eastAsia" w:ascii="仿宋" w:hAnsi="仿宋" w:eastAsia="仿宋" w:cs="仿宋"/>
          <w:b/>
          <w:bCs/>
          <w:sz w:val="28"/>
          <w:szCs w:val="28"/>
        </w:rPr>
      </w:pPr>
      <w:r>
        <w:rPr>
          <w:rStyle w:val="11"/>
          <w:rFonts w:hint="eastAsia" w:ascii="仿宋" w:hAnsi="仿宋" w:eastAsia="仿宋" w:cs="仿宋"/>
          <w:b/>
          <w:bCs/>
          <w:sz w:val="28"/>
          <w:szCs w:val="28"/>
          <w:lang w:val="en-US" w:eastAsia="zh-CN"/>
        </w:rPr>
        <w:t>三</w:t>
      </w:r>
      <w:r>
        <w:rPr>
          <w:rStyle w:val="11"/>
          <w:rFonts w:hint="eastAsia" w:ascii="仿宋" w:hAnsi="仿宋" w:eastAsia="仿宋" w:cs="仿宋"/>
          <w:b/>
          <w:bCs/>
          <w:sz w:val="28"/>
          <w:szCs w:val="28"/>
        </w:rPr>
        <w:t>、</w:t>
      </w:r>
      <w:r>
        <w:rPr>
          <w:rStyle w:val="11"/>
          <w:rFonts w:hint="eastAsia" w:ascii="仿宋" w:hAnsi="仿宋" w:eastAsia="仿宋" w:cs="仿宋"/>
          <w:b/>
          <w:bCs/>
          <w:sz w:val="28"/>
          <w:szCs w:val="28"/>
          <w:lang w:val="en-US" w:eastAsia="zh-CN"/>
        </w:rPr>
        <w:t>质量文件</w:t>
      </w:r>
      <w:r>
        <w:rPr>
          <w:rStyle w:val="11"/>
          <w:rFonts w:hint="eastAsia" w:ascii="仿宋" w:hAnsi="仿宋" w:eastAsia="仿宋" w:cs="仿宋"/>
          <w:b/>
          <w:bCs/>
          <w:sz w:val="28"/>
          <w:szCs w:val="28"/>
        </w:rPr>
        <w:t>与验收标准</w:t>
      </w:r>
    </w:p>
    <w:p w14:paraId="7B44A383">
      <w:pPr>
        <w:pStyle w:val="7"/>
        <w:spacing w:before="0" w:beforeAutospacing="0" w:after="0" w:afterAutospacing="0" w:line="360" w:lineRule="auto"/>
        <w:rPr>
          <w:rStyle w:val="11"/>
          <w:rFonts w:hint="eastAsia" w:ascii="仿宋" w:hAnsi="仿宋" w:eastAsia="仿宋" w:cs="仿宋"/>
          <w:b w:val="0"/>
          <w:bCs w:val="0"/>
          <w:lang w:val="en-US" w:eastAsia="zh-CN"/>
        </w:rPr>
      </w:pPr>
      <w:r>
        <w:rPr>
          <w:rStyle w:val="11"/>
          <w:rFonts w:hint="eastAsia" w:ascii="仿宋" w:hAnsi="仿宋" w:eastAsia="仿宋" w:cs="仿宋"/>
          <w:b/>
          <w:bCs/>
          <w:lang w:val="en-US" w:eastAsia="zh-CN"/>
        </w:rPr>
        <w:t>1、‌出厂检验报告 / 出厂质量证明书：</w:t>
      </w:r>
      <w:r>
        <w:rPr>
          <w:rStyle w:val="11"/>
          <w:rFonts w:hint="eastAsia" w:ascii="仿宋" w:hAnsi="仿宋" w:eastAsia="仿宋" w:cs="仿宋"/>
          <w:b w:val="0"/>
          <w:bCs w:val="0"/>
          <w:lang w:val="en-US" w:eastAsia="zh-CN"/>
        </w:rPr>
        <w:t>‌</w:t>
      </w:r>
    </w:p>
    <w:p w14:paraId="715756F8">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供应商/生产厂家名称、地址、联系方式</w:t>
      </w:r>
    </w:p>
    <w:p w14:paraId="38CB21D2">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产品名称（如：镀锌钢管、PVC塑料排水管、PPR给水管、PE给水管、阀门、喷头等配件）、规格型号（如：DN100，DN50等）</w:t>
      </w:r>
    </w:p>
    <w:p w14:paraId="7313B343">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生产日期/批号</w:t>
      </w:r>
    </w:p>
    <w:p w14:paraId="2620DA53">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代表数量（该报告所代表的货物数量）</w:t>
      </w:r>
    </w:p>
    <w:p w14:paraId="4EAF09EB">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‌主要的材料性能指标检测结果</w:t>
      </w:r>
    </w:p>
    <w:p w14:paraId="6877AD3D">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结论（如“符合XX标准XX等级要求”或“合格”）</w:t>
      </w:r>
    </w:p>
    <w:p w14:paraId="15F4B1C2">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签发日期</w:t>
      </w:r>
    </w:p>
    <w:p w14:paraId="6D551DF7">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加盖生产厂家‌质检章‌或‌公章‌。</w:t>
      </w:r>
    </w:p>
    <w:p w14:paraId="1A1D803B">
      <w:pPr>
        <w:pStyle w:val="7"/>
        <w:numPr>
          <w:ilvl w:val="0"/>
          <w:numId w:val="0"/>
        </w:numPr>
        <w:spacing w:before="0" w:beforeAutospacing="0" w:after="0" w:afterAutospacing="0" w:line="360" w:lineRule="auto"/>
        <w:ind w:leftChars="0"/>
        <w:rPr>
          <w:rStyle w:val="11"/>
          <w:rFonts w:hint="eastAsia" w:ascii="仿宋" w:hAnsi="仿宋" w:eastAsia="仿宋" w:cs="仿宋"/>
          <w:b w:val="0"/>
          <w:bCs w:val="0"/>
          <w:lang w:val="en-US" w:eastAsia="zh-CN"/>
        </w:rPr>
      </w:pPr>
      <w:r>
        <w:rPr>
          <w:rStyle w:val="11"/>
          <w:rFonts w:hint="eastAsia" w:ascii="仿宋" w:hAnsi="仿宋" w:eastAsia="仿宋" w:cs="仿宋"/>
          <w:b/>
          <w:bCs/>
          <w:lang w:val="en-US" w:eastAsia="zh-CN"/>
        </w:rPr>
        <w:t>2、送货单/发货单/：</w:t>
      </w:r>
      <w:r>
        <w:rPr>
          <w:rStyle w:val="11"/>
          <w:rFonts w:hint="eastAsia" w:ascii="仿宋" w:hAnsi="仿宋" w:eastAsia="仿宋" w:cs="仿宋"/>
          <w:b w:val="0"/>
          <w:bCs w:val="0"/>
          <w:lang w:val="en-US" w:eastAsia="zh-CN"/>
        </w:rPr>
        <w:t>‌</w:t>
      </w:r>
    </w:p>
    <w:p w14:paraId="7842747B">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lang w:val="en-US" w:eastAsia="zh-CN"/>
        </w:rPr>
        <w:t>信息内容：‌ 供应商名称、产品名称、规格、批号（必须与检验报告上的批号一致）、车号、毛重/皮重/净重、收货单位、发货日期、收货人等。</w:t>
      </w:r>
      <w:r>
        <w:rPr>
          <w:rStyle w:val="11"/>
          <w:rFonts w:hint="eastAsia" w:ascii="仿宋" w:hAnsi="仿宋" w:eastAsia="仿宋" w:cs="仿宋"/>
          <w:b w:val="0"/>
          <w:bCs w:val="0"/>
        </w:rPr>
        <w:t>‌</w:t>
      </w:r>
    </w:p>
    <w:p w14:paraId="2F5D7B78">
      <w:pPr>
        <w:pStyle w:val="7"/>
        <w:spacing w:before="0" w:beforeAutospacing="0" w:after="0" w:afterAutospacing="0" w:line="360" w:lineRule="auto"/>
        <w:rPr>
          <w:rStyle w:val="11"/>
          <w:rFonts w:hint="eastAsia" w:ascii="仿宋" w:hAnsi="仿宋" w:eastAsia="仿宋" w:cs="仿宋"/>
          <w:b/>
          <w:bCs/>
        </w:rPr>
      </w:pPr>
      <w:r>
        <w:rPr>
          <w:rStyle w:val="11"/>
          <w:rFonts w:hint="eastAsia" w:ascii="仿宋" w:hAnsi="仿宋" w:eastAsia="仿宋" w:cs="仿宋"/>
          <w:b/>
          <w:bCs/>
          <w:lang w:val="en-US" w:eastAsia="zh-CN"/>
        </w:rPr>
        <w:t>3</w:t>
      </w:r>
      <w:r>
        <w:rPr>
          <w:rStyle w:val="11"/>
          <w:rFonts w:hint="eastAsia" w:ascii="仿宋" w:hAnsi="仿宋" w:eastAsia="仿宋" w:cs="仿宋"/>
          <w:b/>
          <w:bCs/>
        </w:rPr>
        <w:t>、常见不合格项处理</w:t>
      </w:r>
    </w:p>
    <w:p w14:paraId="430AC958">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材料到场现场验收不合格，拒收退货处理</w:t>
      </w:r>
      <w:r>
        <w:rPr>
          <w:rStyle w:val="11"/>
          <w:rFonts w:hint="eastAsia" w:ascii="仿宋" w:hAnsi="仿宋" w:eastAsia="仿宋" w:cs="仿宋"/>
          <w:b w:val="0"/>
          <w:bCs w:val="0"/>
        </w:rPr>
        <w:t>；</w:t>
      </w:r>
    </w:p>
    <w:p w14:paraId="76DEA089">
      <w:pPr>
        <w:pStyle w:val="7"/>
        <w:spacing w:before="0" w:beforeAutospacing="0" w:after="0" w:afterAutospacing="0" w:line="360" w:lineRule="auto"/>
        <w:rPr>
          <w:rStyle w:val="11"/>
          <w:rFonts w:hint="eastAsia" w:ascii="仿宋" w:hAnsi="仿宋" w:eastAsia="仿宋" w:cs="仿宋"/>
          <w:b/>
          <w:bCs/>
        </w:rPr>
      </w:pPr>
      <w:r>
        <w:rPr>
          <w:rStyle w:val="11"/>
          <w:rFonts w:hint="eastAsia" w:ascii="仿宋" w:hAnsi="仿宋" w:eastAsia="仿宋" w:cs="仿宋"/>
          <w:b/>
          <w:bCs/>
          <w:lang w:val="en-US" w:eastAsia="zh-CN"/>
        </w:rPr>
        <w:t>4</w:t>
      </w:r>
      <w:r>
        <w:rPr>
          <w:rStyle w:val="11"/>
          <w:rFonts w:hint="eastAsia" w:ascii="仿宋" w:hAnsi="仿宋" w:eastAsia="仿宋" w:cs="仿宋"/>
          <w:b/>
          <w:bCs/>
        </w:rPr>
        <w:t>、国家、行业和地方标准</w:t>
      </w:r>
      <w:r>
        <w:rPr>
          <w:rStyle w:val="11"/>
          <w:rFonts w:hint="eastAsia" w:ascii="仿宋" w:hAnsi="仿宋" w:eastAsia="仿宋" w:cs="仿宋"/>
          <w:b/>
          <w:bCs/>
          <w:lang w:val="en-US" w:eastAsia="zh-CN"/>
        </w:rPr>
        <w:t>和规范要求</w:t>
      </w:r>
      <w:r>
        <w:rPr>
          <w:rStyle w:val="11"/>
          <w:rFonts w:hint="eastAsia" w:ascii="仿宋" w:hAnsi="仿宋" w:eastAsia="仿宋" w:cs="仿宋"/>
          <w:b/>
          <w:bCs/>
        </w:rPr>
        <w:t>：</w:t>
      </w:r>
    </w:p>
    <w:p w14:paraId="0050312A">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《给水用聚乙烯(PE)管材》GB/T 13663.2-2018‌</w:t>
      </w:r>
    </w:p>
    <w:p w14:paraId="529B7EBA">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《节水灌溉用PE管材》GB/T 19812.6-2022</w:t>
      </w:r>
    </w:p>
    <w:p w14:paraId="63FE97DD">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《建筑排水用HDPE管材》CJ/T 250-2018</w:t>
      </w:r>
    </w:p>
    <w:p w14:paraId="74F4983C">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《建筑排水用硬聚氯乙烯(PVC-U)管材》‌GB/T 5836.1-2018</w:t>
      </w:r>
    </w:p>
    <w:p w14:paraId="61238915">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《无压埋地排污、排水用硬聚氯乙烯(PVC-U)管材》‌GB/T 20221-2023</w:t>
      </w:r>
    </w:p>
    <w:p w14:paraId="6E5087BF">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《建筑排水低噪声硬聚氯乙烯(PVC-U)管材》‌CJ/T 442-2013</w:t>
      </w:r>
    </w:p>
    <w:p w14:paraId="754F2B12">
      <w:pPr>
        <w:pStyle w:val="7"/>
        <w:numPr>
          <w:ilvl w:val="0"/>
          <w:numId w:val="1"/>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行业/地方标准（如JC/T 640-1996《预应力混凝土输水管》等）‌‌‌‌</w:t>
      </w:r>
    </w:p>
    <w:p w14:paraId="0B370D5C">
      <w:pPr>
        <w:pStyle w:val="6"/>
        <w:numPr>
          <w:ilvl w:val="0"/>
          <w:numId w:val="1"/>
        </w:numPr>
        <w:bidi w:val="0"/>
        <w:rPr>
          <w:rStyle w:val="11"/>
          <w:rFonts w:hint="eastAsia" w:ascii="仿宋" w:hAnsi="仿宋" w:eastAsia="仿宋" w:cs="仿宋"/>
          <w:b w:val="0"/>
          <w:bCs w:val="0"/>
        </w:rPr>
      </w:pPr>
      <w:r>
        <w:rPr>
          <w:rStyle w:val="11"/>
          <w:rFonts w:hint="eastAsia" w:ascii="仿宋" w:hAnsi="仿宋" w:eastAsia="仿宋" w:cs="仿宋"/>
          <w:b w:val="0"/>
          <w:bCs w:val="0"/>
        </w:rPr>
        <w:t>卫生安全标准（如GB/T 17219）</w:t>
      </w:r>
    </w:p>
    <w:p w14:paraId="0C7E97C9">
      <w:pPr>
        <w:pStyle w:val="7"/>
        <w:spacing w:before="0" w:beforeAutospacing="0" w:after="0" w:afterAutospacing="0" w:line="360" w:lineRule="auto"/>
        <w:rPr>
          <w:rStyle w:val="11"/>
          <w:rFonts w:hint="eastAsia" w:ascii="仿宋" w:hAnsi="仿宋" w:eastAsia="仿宋" w:cs="仿宋"/>
          <w:b w:val="0"/>
          <w:bCs w:val="0"/>
          <w:lang w:eastAsia="zh-CN"/>
        </w:rPr>
      </w:pPr>
      <w:r>
        <w:rPr>
          <w:rStyle w:val="11"/>
          <w:rFonts w:hint="eastAsia" w:ascii="仿宋" w:hAnsi="仿宋" w:eastAsia="仿宋" w:cs="仿宋"/>
          <w:b w:val="0"/>
          <w:bCs w:val="0"/>
        </w:rPr>
        <w:t>‌其他</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本项目特定的设计</w:t>
      </w:r>
      <w:r>
        <w:rPr>
          <w:rStyle w:val="11"/>
          <w:rFonts w:hint="eastAsia" w:ascii="仿宋" w:hAnsi="仿宋" w:eastAsia="仿宋" w:cs="仿宋"/>
          <w:b w:val="0"/>
          <w:bCs w:val="0"/>
          <w:lang w:val="en-US" w:eastAsia="zh-CN"/>
        </w:rPr>
        <w:t>图纸和合同</w:t>
      </w:r>
      <w:r>
        <w:rPr>
          <w:rStyle w:val="11"/>
          <w:rFonts w:hint="eastAsia" w:ascii="仿宋" w:hAnsi="仿宋" w:eastAsia="仿宋" w:cs="仿宋"/>
          <w:b w:val="0"/>
          <w:bCs w:val="0"/>
        </w:rPr>
        <w:t>文件</w:t>
      </w:r>
      <w:r>
        <w:rPr>
          <w:rStyle w:val="11"/>
          <w:rFonts w:hint="eastAsia" w:ascii="仿宋" w:hAnsi="仿宋" w:eastAsia="仿宋" w:cs="仿宋"/>
          <w:b w:val="0"/>
          <w:bCs w:val="0"/>
          <w:lang w:eastAsia="zh-CN"/>
        </w:rPr>
        <w:t>。</w:t>
      </w:r>
    </w:p>
    <w:p w14:paraId="25FD8F59">
      <w:pPr>
        <w:pStyle w:val="7"/>
        <w:spacing w:before="0" w:beforeAutospacing="0" w:after="0" w:afterAutospacing="0" w:line="360" w:lineRule="auto"/>
        <w:rPr>
          <w:rStyle w:val="11"/>
          <w:rFonts w:hint="eastAsia" w:ascii="仿宋" w:hAnsi="仿宋" w:eastAsia="仿宋" w:cs="仿宋"/>
          <w:b w:val="0"/>
          <w:bCs w:val="0"/>
        </w:rPr>
      </w:pPr>
    </w:p>
    <w:p w14:paraId="03536C54">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四</w:t>
      </w:r>
      <w:r>
        <w:rPr>
          <w:rStyle w:val="11"/>
          <w:rFonts w:ascii="仿宋" w:hAnsi="仿宋" w:eastAsia="仿宋" w:cs="仿宋"/>
          <w:b/>
          <w:bCs/>
          <w:sz w:val="28"/>
          <w:szCs w:val="28"/>
        </w:rPr>
        <w:t>、安全文明施工要求</w:t>
      </w:r>
    </w:p>
    <w:p w14:paraId="66E7E99C">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rPr>
        <w:t>1、安全操作及人员管理：</w:t>
      </w:r>
      <w:r>
        <w:rPr>
          <w:rStyle w:val="11"/>
          <w:rFonts w:hint="eastAsia" w:ascii="仿宋" w:hAnsi="仿宋" w:eastAsia="仿宋" w:cs="仿宋"/>
          <w:b w:val="0"/>
          <w:bCs w:val="0"/>
        </w:rPr>
        <w:t>；特殊工种（</w:t>
      </w:r>
      <w:r>
        <w:rPr>
          <w:rStyle w:val="11"/>
          <w:rFonts w:hint="eastAsia" w:ascii="仿宋" w:hAnsi="仿宋" w:eastAsia="仿宋" w:cs="仿宋"/>
          <w:b w:val="0"/>
          <w:bCs w:val="0"/>
          <w:lang w:val="en-US" w:eastAsia="zh-CN"/>
        </w:rPr>
        <w:t>叉车</w:t>
      </w:r>
      <w:r>
        <w:rPr>
          <w:rStyle w:val="11"/>
          <w:rFonts w:hint="eastAsia" w:ascii="仿宋" w:hAnsi="仿宋" w:eastAsia="仿宋" w:cs="仿宋"/>
          <w:b w:val="0"/>
          <w:bCs w:val="0"/>
        </w:rPr>
        <w:t>、起重机等设备操作人员）必须持有效证件，人证合一。机械操作人员必须身体健康，无妨碍安全操作的疾病（如心脏病、癫痫、色盲等）。严禁疲劳驾驶、酒后驾驶。安排专职现场调度/协调员，</w:t>
      </w:r>
      <w:r>
        <w:rPr>
          <w:rStyle w:val="11"/>
          <w:rFonts w:hint="eastAsia" w:ascii="仿宋" w:hAnsi="仿宋" w:eastAsia="仿宋" w:cs="仿宋"/>
          <w:b w:val="0"/>
          <w:bCs w:val="0"/>
          <w:lang w:val="en-US" w:eastAsia="zh-CN"/>
        </w:rPr>
        <w:t>且</w:t>
      </w:r>
      <w:r>
        <w:rPr>
          <w:rStyle w:val="11"/>
          <w:rFonts w:hint="eastAsia" w:ascii="仿宋" w:hAnsi="仿宋" w:eastAsia="仿宋" w:cs="仿宋"/>
          <w:b w:val="0"/>
          <w:bCs w:val="0"/>
        </w:rPr>
        <w:t>必须严格遵守甲方安全管理要求</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运输车辆工作时交通安全，过程中如因乙方违反安全驾驶、机械设备违规操作等原因产生的事故损失完全由乙方承担。</w:t>
      </w:r>
    </w:p>
    <w:p w14:paraId="4AC66838">
      <w:pPr>
        <w:pStyle w:val="7"/>
        <w:spacing w:before="0" w:beforeAutospacing="0" w:after="0" w:afterAutospacing="0" w:line="360" w:lineRule="auto"/>
        <w:ind w:firstLine="482" w:firstLineChars="200"/>
        <w:rPr>
          <w:rFonts w:ascii="仿宋" w:hAnsi="仿宋" w:eastAsia="仿宋"/>
        </w:rPr>
      </w:pPr>
      <w:r>
        <w:rPr>
          <w:rStyle w:val="11"/>
          <w:rFonts w:hint="eastAsia" w:ascii="仿宋" w:hAnsi="仿宋" w:eastAsia="仿宋" w:cs="仿宋"/>
        </w:rPr>
        <w:t>2、机械设备管理：</w:t>
      </w:r>
      <w:r>
        <w:rPr>
          <w:rFonts w:hint="eastAsia" w:ascii="仿宋" w:hAnsi="仿宋" w:eastAsia="仿宋"/>
        </w:rPr>
        <w:t>本项目所有机械设备（</w:t>
      </w:r>
      <w:r>
        <w:rPr>
          <w:rFonts w:hint="eastAsia" w:ascii="仿宋" w:hAnsi="仿宋" w:eastAsia="仿宋"/>
          <w:lang w:val="en-US" w:eastAsia="zh-CN"/>
        </w:rPr>
        <w:t>材料运输车辆、起重设备、叉车</w:t>
      </w:r>
      <w:r>
        <w:rPr>
          <w:rFonts w:hint="eastAsia" w:ascii="仿宋" w:hAnsi="仿宋" w:eastAsia="仿宋"/>
        </w:rPr>
        <w:t>等）必须已在国家相关部门注册登记，拥有有效的行驶证/登记证（</w:t>
      </w:r>
      <w:r>
        <w:rPr>
          <w:rFonts w:hint="eastAsia" w:ascii="仿宋" w:hAnsi="仿宋" w:eastAsia="仿宋"/>
          <w:lang w:val="en-US" w:eastAsia="zh-CN"/>
        </w:rPr>
        <w:t>运输</w:t>
      </w:r>
      <w:r>
        <w:rPr>
          <w:rFonts w:hint="eastAsia" w:ascii="仿宋" w:hAnsi="仿宋" w:eastAsia="仿宋"/>
        </w:rPr>
        <w:t>车</w:t>
      </w:r>
      <w:r>
        <w:rPr>
          <w:rFonts w:hint="eastAsia" w:ascii="仿宋" w:hAnsi="仿宋" w:eastAsia="仿宋"/>
          <w:lang w:val="en-US" w:eastAsia="zh-CN"/>
        </w:rPr>
        <w:t>辆</w:t>
      </w:r>
      <w:r>
        <w:rPr>
          <w:rFonts w:hint="eastAsia" w:ascii="仿宋" w:hAnsi="仿宋" w:eastAsia="仿宋"/>
        </w:rPr>
        <w:t>）等相关证件。</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5A2BC79D">
      <w:pPr>
        <w:pStyle w:val="7"/>
        <w:spacing w:line="360" w:lineRule="auto"/>
        <w:ind w:firstLine="482" w:firstLineChars="200"/>
        <w:rPr>
          <w:rStyle w:val="11"/>
          <w:rFonts w:hint="eastAsia" w:ascii="仿宋" w:hAnsi="仿宋" w:eastAsia="仿宋" w:cs="仿宋"/>
          <w:b w:val="0"/>
          <w:bCs w:val="0"/>
        </w:rPr>
      </w:pPr>
      <w:r>
        <w:rPr>
          <w:rStyle w:val="11"/>
          <w:rFonts w:hint="eastAsia" w:ascii="仿宋" w:hAnsi="仿宋" w:eastAsia="仿宋" w:cs="仿宋"/>
          <w:bCs w:val="0"/>
        </w:rPr>
        <w:t>3、文明施工管理：</w:t>
      </w:r>
      <w:r>
        <w:rPr>
          <w:rStyle w:val="11"/>
          <w:rFonts w:hint="eastAsia" w:ascii="仿宋" w:hAnsi="仿宋" w:eastAsia="仿宋" w:cs="仿宋"/>
          <w:b w:val="0"/>
          <w:bCs w:val="0"/>
        </w:rPr>
        <w:t>严格执行“工完场清”制度。</w:t>
      </w:r>
      <w:r>
        <w:rPr>
          <w:rStyle w:val="11"/>
          <w:rFonts w:hint="eastAsia" w:ascii="仿宋" w:hAnsi="仿宋" w:eastAsia="仿宋" w:cs="仿宋"/>
          <w:b w:val="0"/>
          <w:bCs w:val="0"/>
          <w:lang w:val="en-US" w:eastAsia="zh-CN"/>
        </w:rPr>
        <w:t>材料运输、转运、卸货等过程中产生的杂物垃圾在完成卸货后自行打扫清理外运</w:t>
      </w:r>
      <w:r>
        <w:rPr>
          <w:rStyle w:val="11"/>
          <w:rFonts w:hint="eastAsia" w:ascii="仿宋" w:hAnsi="仿宋" w:eastAsia="仿宋" w:cs="仿宋"/>
          <w:b w:val="0"/>
          <w:bCs w:val="0"/>
        </w:rPr>
        <w:t>。</w:t>
      </w:r>
    </w:p>
    <w:p w14:paraId="532D1DDE">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4、环境保护</w:t>
      </w:r>
      <w:r>
        <w:rPr>
          <w:rStyle w:val="11"/>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施工噪音控制严格执行《建筑施工场界环境噪声排放标准》GB12523，合理安排作业时间，避免夜间（22:00-6:00）高噪音作业。</w:t>
      </w:r>
    </w:p>
    <w:p w14:paraId="79510D70">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五</w:t>
      </w:r>
      <w:r>
        <w:rPr>
          <w:rStyle w:val="11"/>
          <w:rFonts w:ascii="仿宋" w:hAnsi="仿宋" w:eastAsia="仿宋" w:cs="仿宋"/>
          <w:b/>
          <w:bCs/>
          <w:sz w:val="28"/>
          <w:szCs w:val="28"/>
        </w:rPr>
        <w:t>、施工配合要求</w:t>
      </w:r>
    </w:p>
    <w:bookmarkEnd w:id="0"/>
    <w:bookmarkEnd w:id="1"/>
    <w:p w14:paraId="1C5C7BC3">
      <w:pPr>
        <w:pStyle w:val="7"/>
        <w:spacing w:before="0" w:beforeAutospacing="0" w:after="0" w:afterAutospacing="0" w:line="360" w:lineRule="auto"/>
        <w:rPr>
          <w:rFonts w:hint="eastAsia" w:ascii="仿宋" w:hAnsi="仿宋" w:eastAsia="仿宋"/>
          <w:lang w:eastAsia="zh-CN"/>
        </w:rPr>
      </w:pPr>
      <w:r>
        <w:rPr>
          <w:rFonts w:hint="eastAsia" w:ascii="仿宋" w:hAnsi="仿宋" w:eastAsia="仿宋"/>
        </w:rPr>
        <w:t>1、</w:t>
      </w:r>
      <w:r>
        <w:rPr>
          <w:rFonts w:hint="eastAsia" w:ascii="仿宋" w:hAnsi="仿宋" w:eastAsia="仿宋"/>
          <w:lang w:val="en-US" w:eastAsia="zh-CN"/>
        </w:rPr>
        <w:t>供货周期：</w:t>
      </w:r>
      <w:r>
        <w:rPr>
          <w:rFonts w:hint="eastAsia" w:ascii="仿宋" w:hAnsi="仿宋" w:eastAsia="仿宋"/>
        </w:rPr>
        <w:t>项目部下单，必须</w:t>
      </w:r>
      <w:r>
        <w:rPr>
          <w:rFonts w:hint="eastAsia" w:ascii="仿宋" w:hAnsi="仿宋" w:eastAsia="仿宋"/>
          <w:lang w:val="en-US" w:eastAsia="zh-CN"/>
        </w:rPr>
        <w:t>7天</w:t>
      </w:r>
      <w:r>
        <w:rPr>
          <w:rFonts w:hint="eastAsia" w:ascii="仿宋" w:hAnsi="仿宋" w:eastAsia="仿宋"/>
        </w:rPr>
        <w:t>内到场，特殊情况</w:t>
      </w:r>
      <w:r>
        <w:rPr>
          <w:rFonts w:hint="eastAsia" w:ascii="仿宋" w:hAnsi="仿宋" w:eastAsia="仿宋"/>
          <w:lang w:val="en-US" w:eastAsia="zh-CN"/>
        </w:rPr>
        <w:t>3天</w:t>
      </w:r>
      <w:r>
        <w:rPr>
          <w:rFonts w:hint="eastAsia" w:ascii="仿宋" w:hAnsi="仿宋" w:eastAsia="仿宋"/>
        </w:rPr>
        <w:t>内进场</w:t>
      </w:r>
      <w:r>
        <w:rPr>
          <w:rFonts w:hint="eastAsia" w:ascii="仿宋" w:hAnsi="仿宋" w:eastAsia="仿宋"/>
          <w:lang w:eastAsia="zh-CN"/>
        </w:rPr>
        <w:t>。</w:t>
      </w:r>
    </w:p>
    <w:p w14:paraId="7E20FCAF">
      <w:pPr>
        <w:pStyle w:val="7"/>
        <w:spacing w:before="0" w:beforeAutospacing="0" w:after="0" w:afterAutospacing="0" w:line="360" w:lineRule="auto"/>
        <w:rPr>
          <w:rFonts w:hint="eastAsia" w:ascii="仿宋" w:hAnsi="仿宋" w:eastAsia="仿宋"/>
        </w:rPr>
      </w:pPr>
      <w:r>
        <w:rPr>
          <w:rFonts w:hint="eastAsia" w:ascii="仿宋" w:hAnsi="仿宋" w:eastAsia="仿宋"/>
        </w:rPr>
        <w:t>2、</w:t>
      </w:r>
      <w:r>
        <w:rPr>
          <w:rFonts w:hint="eastAsia" w:ascii="仿宋" w:hAnsi="仿宋" w:eastAsia="仿宋"/>
          <w:lang w:val="en-US" w:eastAsia="zh-CN"/>
        </w:rPr>
        <w:t>现场配合：</w:t>
      </w:r>
      <w:r>
        <w:rPr>
          <w:rFonts w:hint="eastAsia" w:ascii="仿宋" w:hAnsi="仿宋" w:eastAsia="仿宋"/>
        </w:rPr>
        <w:t>供应商无条件配合现场施工进度要求；</w:t>
      </w:r>
    </w:p>
    <w:p w14:paraId="66FBC86E">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3</w:t>
      </w:r>
      <w:r>
        <w:rPr>
          <w:rFonts w:hint="eastAsia" w:ascii="仿宋" w:hAnsi="仿宋" w:eastAsia="仿宋"/>
        </w:rPr>
        <w:t>、</w:t>
      </w:r>
      <w:r>
        <w:rPr>
          <w:rFonts w:hint="eastAsia" w:ascii="仿宋" w:hAnsi="仿宋" w:eastAsia="仿宋"/>
          <w:lang w:val="en-US" w:eastAsia="zh-CN"/>
        </w:rPr>
        <w:t>材料验收</w:t>
      </w:r>
      <w:r>
        <w:rPr>
          <w:rFonts w:ascii="仿宋" w:hAnsi="仿宋" w:eastAsia="仿宋"/>
        </w:rPr>
        <w:t>：</w:t>
      </w:r>
      <w:r>
        <w:rPr>
          <w:rFonts w:hint="eastAsia" w:ascii="仿宋" w:hAnsi="仿宋" w:eastAsia="仿宋"/>
          <w:lang w:val="en-US" w:eastAsia="zh-CN"/>
        </w:rPr>
        <w:t>材料</w:t>
      </w:r>
      <w:r>
        <w:rPr>
          <w:rFonts w:ascii="仿宋" w:hAnsi="仿宋" w:eastAsia="仿宋"/>
        </w:rPr>
        <w:t>到场</w:t>
      </w:r>
      <w:r>
        <w:rPr>
          <w:rFonts w:hint="eastAsia" w:ascii="仿宋" w:hAnsi="仿宋" w:eastAsia="仿宋"/>
          <w:lang w:val="en-US" w:eastAsia="zh-CN"/>
        </w:rPr>
        <w:t>后</w:t>
      </w:r>
      <w:r>
        <w:rPr>
          <w:rFonts w:ascii="仿宋" w:hAnsi="仿宋" w:eastAsia="仿宋"/>
        </w:rPr>
        <w:t>发现</w:t>
      </w:r>
      <w:r>
        <w:rPr>
          <w:rFonts w:hint="eastAsia" w:ascii="仿宋" w:hAnsi="仿宋" w:eastAsia="仿宋"/>
          <w:lang w:val="en-US" w:eastAsia="zh-CN"/>
        </w:rPr>
        <w:t>存在明显质量问题例如外观质量和尺寸偏差等问题</w:t>
      </w:r>
      <w:r>
        <w:rPr>
          <w:rFonts w:ascii="仿宋" w:hAnsi="仿宋" w:eastAsia="仿宋"/>
        </w:rPr>
        <w:t>，</w:t>
      </w:r>
      <w:r>
        <w:rPr>
          <w:rFonts w:hint="eastAsia" w:ascii="仿宋" w:hAnsi="仿宋" w:eastAsia="仿宋"/>
          <w:lang w:val="en-US" w:eastAsia="zh-CN"/>
        </w:rPr>
        <w:t>24</w:t>
      </w:r>
      <w:r>
        <w:rPr>
          <w:rFonts w:ascii="仿宋" w:hAnsi="仿宋" w:eastAsia="仿宋"/>
        </w:rPr>
        <w:t>小时内完成退换货；</w:t>
      </w:r>
    </w:p>
    <w:p w14:paraId="70EE9635">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4</w:t>
      </w:r>
      <w:r>
        <w:rPr>
          <w:rFonts w:hint="eastAsia" w:ascii="仿宋" w:hAnsi="仿宋" w:eastAsia="仿宋"/>
        </w:rPr>
        <w:t>、</w:t>
      </w:r>
      <w:r>
        <w:rPr>
          <w:rFonts w:ascii="仿宋" w:hAnsi="仿宋" w:eastAsia="仿宋"/>
        </w:rPr>
        <w:t>供应商延迟到货：按合同价0.1%/天扣款，超3天启动应急采购；</w:t>
      </w:r>
    </w:p>
    <w:p w14:paraId="39FEF54D">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5</w:t>
      </w:r>
      <w:r>
        <w:rPr>
          <w:rFonts w:hint="eastAsia" w:ascii="仿宋" w:hAnsi="仿宋" w:eastAsia="仿宋"/>
        </w:rPr>
        <w:t>、</w:t>
      </w:r>
      <w:r>
        <w:rPr>
          <w:rFonts w:ascii="仿宋" w:hAnsi="仿宋" w:eastAsia="仿宋"/>
        </w:rPr>
        <w:t>到货通知：</w:t>
      </w:r>
      <w:r>
        <w:rPr>
          <w:rFonts w:hint="eastAsia" w:ascii="仿宋" w:hAnsi="仿宋" w:eastAsia="仿宋"/>
          <w:lang w:val="en-US" w:eastAsia="zh-CN"/>
        </w:rPr>
        <w:t>出发前</w:t>
      </w:r>
      <w:r>
        <w:rPr>
          <w:rFonts w:ascii="仿宋" w:hAnsi="仿宋" w:eastAsia="仿宋"/>
        </w:rPr>
        <w:t>发送货车车牌号、司机电话、预计抵达时间、货物清单及发货照片。</w:t>
      </w:r>
    </w:p>
    <w:p w14:paraId="6470DABB">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6、材料照管：在货物移交给采购人并经采购人验收合格前，货物的损耗、毁损、灭失的风险和责任均由供应商自行承担。</w:t>
      </w:r>
    </w:p>
    <w:p w14:paraId="6EFDE7A8">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7、材料运输及卸货：</w:t>
      </w:r>
      <w:r>
        <w:rPr>
          <w:rFonts w:ascii="仿宋" w:hAnsi="仿宋" w:eastAsia="仿宋"/>
        </w:rPr>
        <w:t>提前勘察道路限高/限宽，夜间运输避开市区高峰</w:t>
      </w:r>
      <w:r>
        <w:rPr>
          <w:rFonts w:hint="eastAsia" w:ascii="仿宋" w:hAnsi="仿宋" w:eastAsia="仿宋"/>
          <w:lang w:eastAsia="zh-CN"/>
        </w:rPr>
        <w:t>。</w:t>
      </w:r>
      <w:r>
        <w:rPr>
          <w:rFonts w:hint="eastAsia" w:ascii="仿宋" w:hAnsi="仿宋" w:eastAsia="仿宋"/>
          <w:lang w:val="en-US" w:eastAsia="zh-CN"/>
        </w:rPr>
        <w:t>材料运输及卸货过程中供应商需做好必要的材料的成品保护，材料到场后司机必须提供完整、清晰、签章齐全的出厂单据（发货单/运输单）及时通知采购人进行材料验收，</w:t>
      </w:r>
      <w:r>
        <w:rPr>
          <w:rFonts w:ascii="仿宋" w:hAnsi="仿宋" w:eastAsia="仿宋"/>
        </w:rPr>
        <w:t>不符合要求有权拒收</w:t>
      </w:r>
      <w:r>
        <w:rPr>
          <w:rFonts w:hint="eastAsia" w:ascii="仿宋" w:hAnsi="仿宋" w:eastAsia="仿宋"/>
          <w:lang w:eastAsia="zh-CN"/>
        </w:rPr>
        <w:t>。</w:t>
      </w:r>
      <w:r>
        <w:rPr>
          <w:rFonts w:hint="eastAsia" w:ascii="仿宋" w:hAnsi="仿宋" w:eastAsia="仿宋"/>
          <w:lang w:val="en-US" w:eastAsia="zh-CN"/>
        </w:rPr>
        <w:t>验收合格后安排人员、机械将材料进行卸货转运至指定地点。</w:t>
      </w:r>
    </w:p>
    <w:p w14:paraId="3E2DAE88">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8、材料检测：合同执行过程中供应商必须根据项目的检测方案无条件配合材料送检并保证合格。</w:t>
      </w:r>
    </w:p>
    <w:p w14:paraId="1BE8C50F">
      <w:pPr>
        <w:pStyle w:val="7"/>
        <w:spacing w:before="0" w:beforeAutospacing="0" w:after="0" w:afterAutospacing="0" w:line="360" w:lineRule="auto"/>
        <w:rPr>
          <w:rFonts w:hint="eastAsia" w:ascii="仿宋" w:hAnsi="仿宋" w:eastAsia="仿宋"/>
          <w:lang w:val="en-US" w:eastAsia="zh-CN"/>
        </w:rPr>
      </w:pPr>
    </w:p>
    <w:p w14:paraId="44EEB6CB">
      <w:pPr>
        <w:pStyle w:val="7"/>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E6F348"/>
    <w:multiLevelType w:val="singleLevel"/>
    <w:tmpl w:val="0FE6F348"/>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086275"/>
    <w:rsid w:val="000E4CB1"/>
    <w:rsid w:val="000F2BB9"/>
    <w:rsid w:val="000F369B"/>
    <w:rsid w:val="00124AF1"/>
    <w:rsid w:val="0012534E"/>
    <w:rsid w:val="00136D61"/>
    <w:rsid w:val="001378AF"/>
    <w:rsid w:val="00185134"/>
    <w:rsid w:val="00191122"/>
    <w:rsid w:val="001B0CF8"/>
    <w:rsid w:val="001D6D5C"/>
    <w:rsid w:val="001F2A1C"/>
    <w:rsid w:val="00216324"/>
    <w:rsid w:val="00235C18"/>
    <w:rsid w:val="002425CE"/>
    <w:rsid w:val="002D10A6"/>
    <w:rsid w:val="00326FF9"/>
    <w:rsid w:val="00352A0A"/>
    <w:rsid w:val="0037692F"/>
    <w:rsid w:val="003B6F40"/>
    <w:rsid w:val="003E2E43"/>
    <w:rsid w:val="003E4701"/>
    <w:rsid w:val="0046074E"/>
    <w:rsid w:val="00486014"/>
    <w:rsid w:val="004B4B28"/>
    <w:rsid w:val="004C5E17"/>
    <w:rsid w:val="004F170C"/>
    <w:rsid w:val="00516990"/>
    <w:rsid w:val="005923A5"/>
    <w:rsid w:val="005B5964"/>
    <w:rsid w:val="0062192F"/>
    <w:rsid w:val="00630DA8"/>
    <w:rsid w:val="00654478"/>
    <w:rsid w:val="00672139"/>
    <w:rsid w:val="006A7F96"/>
    <w:rsid w:val="006B204B"/>
    <w:rsid w:val="006B6E0A"/>
    <w:rsid w:val="006C762D"/>
    <w:rsid w:val="006D4FB8"/>
    <w:rsid w:val="006E131A"/>
    <w:rsid w:val="006F5757"/>
    <w:rsid w:val="006F67C2"/>
    <w:rsid w:val="00717FDD"/>
    <w:rsid w:val="007829AA"/>
    <w:rsid w:val="007E7F97"/>
    <w:rsid w:val="0082146A"/>
    <w:rsid w:val="00827F4B"/>
    <w:rsid w:val="008464FF"/>
    <w:rsid w:val="00852BD2"/>
    <w:rsid w:val="0085450D"/>
    <w:rsid w:val="00893CFC"/>
    <w:rsid w:val="008D2FC5"/>
    <w:rsid w:val="008D4FD8"/>
    <w:rsid w:val="00912145"/>
    <w:rsid w:val="00920412"/>
    <w:rsid w:val="009D2AC5"/>
    <w:rsid w:val="00A31730"/>
    <w:rsid w:val="00A54748"/>
    <w:rsid w:val="00A7697F"/>
    <w:rsid w:val="00AA4DEF"/>
    <w:rsid w:val="00AA7C5B"/>
    <w:rsid w:val="00AC3F9D"/>
    <w:rsid w:val="00AD5D11"/>
    <w:rsid w:val="00AF0B17"/>
    <w:rsid w:val="00B02FD5"/>
    <w:rsid w:val="00B0440A"/>
    <w:rsid w:val="00B33B37"/>
    <w:rsid w:val="00B44603"/>
    <w:rsid w:val="00B87DF7"/>
    <w:rsid w:val="00BB52D1"/>
    <w:rsid w:val="00BE54E2"/>
    <w:rsid w:val="00C136B6"/>
    <w:rsid w:val="00C13A0D"/>
    <w:rsid w:val="00C15281"/>
    <w:rsid w:val="00C21EFF"/>
    <w:rsid w:val="00C27C37"/>
    <w:rsid w:val="00C52062"/>
    <w:rsid w:val="00C5307E"/>
    <w:rsid w:val="00CB1153"/>
    <w:rsid w:val="00CE60E4"/>
    <w:rsid w:val="00D13746"/>
    <w:rsid w:val="00D3242E"/>
    <w:rsid w:val="00D41D5B"/>
    <w:rsid w:val="00D60186"/>
    <w:rsid w:val="00DF04C7"/>
    <w:rsid w:val="00DF1C21"/>
    <w:rsid w:val="00E1166C"/>
    <w:rsid w:val="00E6585F"/>
    <w:rsid w:val="00E67EAE"/>
    <w:rsid w:val="00E862C5"/>
    <w:rsid w:val="00E95C77"/>
    <w:rsid w:val="00EC4B0F"/>
    <w:rsid w:val="00F03E80"/>
    <w:rsid w:val="00F402FA"/>
    <w:rsid w:val="00F45C11"/>
    <w:rsid w:val="00F51507"/>
    <w:rsid w:val="00F612A9"/>
    <w:rsid w:val="00F77B37"/>
    <w:rsid w:val="00F8764A"/>
    <w:rsid w:val="00FD4393"/>
    <w:rsid w:val="00FE0222"/>
    <w:rsid w:val="00FE1BD5"/>
    <w:rsid w:val="00FF4C2D"/>
    <w:rsid w:val="07F70BD6"/>
    <w:rsid w:val="0C290216"/>
    <w:rsid w:val="0CF76846"/>
    <w:rsid w:val="0DF239EF"/>
    <w:rsid w:val="14A22215"/>
    <w:rsid w:val="1A7E3FD6"/>
    <w:rsid w:val="2EA20D1C"/>
    <w:rsid w:val="38446690"/>
    <w:rsid w:val="3E75078E"/>
    <w:rsid w:val="43EE7BA4"/>
    <w:rsid w:val="454750F0"/>
    <w:rsid w:val="5295297C"/>
    <w:rsid w:val="63404CE1"/>
    <w:rsid w:val="63D76E38"/>
    <w:rsid w:val="70C0247E"/>
    <w:rsid w:val="78595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link w:val="14"/>
    <w:semiHidden/>
    <w:unhideWhenUsed/>
    <w:qFormat/>
    <w:uiPriority w:val="9"/>
    <w:pPr>
      <w:keepNext/>
      <w:keepLines/>
      <w:spacing w:before="260" w:after="260" w:line="416" w:lineRule="auto"/>
      <w:outlineLvl w:val="2"/>
    </w:pPr>
    <w:rPr>
      <w:b/>
      <w:bCs/>
      <w:sz w:val="32"/>
      <w:szCs w:val="32"/>
    </w:rPr>
  </w:style>
  <w:style w:type="paragraph" w:styleId="5">
    <w:name w:val="heading 4"/>
    <w:basedOn w:val="1"/>
    <w:link w:val="1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0">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unhideWhenUsed/>
    <w:qFormat/>
    <w:uiPriority w:val="99"/>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paragraph" w:styleId="12">
    <w:name w:val="List Paragraph"/>
    <w:basedOn w:val="1"/>
    <w:qFormat/>
    <w:uiPriority w:val="34"/>
    <w:pPr>
      <w:ind w:firstLine="420" w:firstLineChars="200"/>
    </w:pPr>
  </w:style>
  <w:style w:type="character" w:customStyle="1" w:styleId="13">
    <w:name w:val="标题 4 Char"/>
    <w:basedOn w:val="10"/>
    <w:link w:val="5"/>
    <w:qFormat/>
    <w:uiPriority w:val="9"/>
    <w:rPr>
      <w:rFonts w:ascii="宋体" w:hAnsi="宋体" w:eastAsia="宋体" w:cs="宋体"/>
      <w:b/>
      <w:bCs/>
      <w:kern w:val="0"/>
      <w:sz w:val="24"/>
      <w:szCs w:val="24"/>
    </w:rPr>
  </w:style>
  <w:style w:type="character" w:customStyle="1" w:styleId="14">
    <w:name w:val="标题 3 Char"/>
    <w:basedOn w:val="10"/>
    <w:link w:val="4"/>
    <w:semiHidden/>
    <w:qFormat/>
    <w:uiPriority w:val="9"/>
    <w:rPr>
      <w:b/>
      <w:bCs/>
      <w:sz w:val="32"/>
      <w:szCs w:val="32"/>
    </w:rPr>
  </w:style>
  <w:style w:type="character" w:customStyle="1" w:styleId="15">
    <w:name w:val="批注框文本 Char"/>
    <w:basedOn w:val="10"/>
    <w:link w:val="6"/>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9A05A1-2D50-4C0B-8057-398231BEE3AD}">
  <ds:schemaRefs/>
</ds:datastoreItem>
</file>

<file path=docProps/app.xml><?xml version="1.0" encoding="utf-8"?>
<Properties xmlns="http://schemas.openxmlformats.org/officeDocument/2006/extended-properties" xmlns:vt="http://schemas.openxmlformats.org/officeDocument/2006/docPropsVTypes">
  <Template>Normal</Template>
  <Pages>8</Pages>
  <Words>3036</Words>
  <Characters>4305</Characters>
  <Lines>37</Lines>
  <Paragraphs>10</Paragraphs>
  <TotalTime>0</TotalTime>
  <ScaleCrop>false</ScaleCrop>
  <LinksUpToDate>false</LinksUpToDate>
  <CharactersWithSpaces>4377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2025-07-11T09:29:00Z</cp:lastPrinted>
  <dcterms:modified xsi:type="dcterms:W3CDTF">2025-08-30T06:37:01Z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eyJoZGlkIjoiYmRhODFmNzRmN2ZlNjc1OGE0YWUxNWEzMmNlMTZlZGUiLCJ1c2VySWQiOiIzNDgwMDA2NDgifQ==</vt:lpwstr>
  </property>
  <property fmtid="{D5CDD505-2E9C-101B-9397-08002B2CF9AE}" pid="3" name="KSOProductBuildVer">
    <vt:lpwstr>2052-12.1.0.22529</vt:lpwstr>
  </property>
  <property fmtid="{D5CDD505-2E9C-101B-9397-08002B2CF9AE}" pid="4" name="ICV">
    <vt:lpwstr>8367BC67ED624A2F850087B2C8490984_12</vt:lpwstr>
  </property>
</Properties>
</file>