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0BA3F">
      <w:pPr>
        <w:jc w:val="center"/>
        <w:rPr>
          <w:rFonts w:ascii="仿宋" w:hAnsi="仿宋" w:eastAsia="仿宋" w:cs="仿宋"/>
          <w:b/>
          <w:sz w:val="36"/>
          <w:szCs w:val="36"/>
        </w:rPr>
      </w:pPr>
      <w:bookmarkStart w:id="0" w:name="OLE_LINK2"/>
      <w:bookmarkStart w:id="1" w:name="OLE_LINK1"/>
      <w:r>
        <w:rPr>
          <w:rFonts w:hint="eastAsia" w:ascii="仿宋" w:hAnsi="仿宋" w:eastAsia="仿宋" w:cs="仿宋"/>
          <w:b/>
          <w:sz w:val="36"/>
          <w:szCs w:val="36"/>
          <w:lang w:val="en-US" w:eastAsia="zh-CN"/>
        </w:rPr>
        <w:t>路面工程机械租赁</w:t>
      </w:r>
      <w:r>
        <w:rPr>
          <w:rFonts w:hint="eastAsia" w:ascii="仿宋" w:hAnsi="仿宋" w:eastAsia="仿宋" w:cs="仿宋"/>
          <w:b/>
          <w:sz w:val="36"/>
          <w:szCs w:val="36"/>
        </w:rPr>
        <w:t>专业分包采购用户需求书</w:t>
      </w:r>
    </w:p>
    <w:p w14:paraId="54F00727">
      <w:pPr>
        <w:pStyle w:val="2"/>
        <w:widowControl/>
        <w:spacing w:beforeAutospacing="0"/>
        <w:rPr>
          <w:rFonts w:hint="default" w:ascii="仿宋" w:hAnsi="仿宋" w:eastAsia="仿宋" w:cs="仿宋"/>
          <w:sz w:val="28"/>
          <w:szCs w:val="28"/>
        </w:rPr>
      </w:pPr>
      <w:r>
        <w:rPr>
          <w:rStyle w:val="10"/>
          <w:rFonts w:ascii="仿宋" w:hAnsi="仿宋" w:eastAsia="仿宋" w:cs="仿宋"/>
          <w:b/>
          <w:bCs/>
          <w:sz w:val="28"/>
          <w:szCs w:val="28"/>
        </w:rPr>
        <w:t>一、工程概况</w:t>
      </w:r>
    </w:p>
    <w:p w14:paraId="48CF91FD">
      <w:pPr>
        <w:pStyle w:val="6"/>
        <w:spacing w:before="0" w:beforeAutospacing="0" w:after="0" w:afterAutospacing="0" w:line="360" w:lineRule="auto"/>
        <w:ind w:firstLine="482" w:firstLineChars="200"/>
        <w:rPr>
          <w:rFonts w:ascii="仿宋" w:hAnsi="仿宋" w:eastAsia="仿宋" w:cs="仿宋"/>
        </w:rPr>
      </w:pPr>
      <w:r>
        <w:rPr>
          <w:rStyle w:val="10"/>
          <w:rFonts w:hint="eastAsia" w:ascii="仿宋" w:hAnsi="仿宋" w:eastAsia="仿宋" w:cs="仿宋"/>
        </w:rPr>
        <w:t>施工范围</w:t>
      </w:r>
      <w:r>
        <w:rPr>
          <w:rFonts w:hint="eastAsia" w:ascii="仿宋" w:hAnsi="仿宋" w:eastAsia="仿宋" w:cs="仿宋"/>
        </w:rPr>
        <w:t>：东莞市石龙镇产业基地配套路网交通综合整治项目-外环连接线工程范围内</w:t>
      </w:r>
      <w:r>
        <w:rPr>
          <w:rFonts w:hint="eastAsia" w:ascii="仿宋" w:hAnsi="仿宋" w:eastAsia="仿宋" w:cs="仿宋"/>
          <w:lang w:val="en-US" w:eastAsia="zh-CN"/>
        </w:rPr>
        <w:t>路面工程机械租赁</w:t>
      </w:r>
      <w:r>
        <w:rPr>
          <w:rFonts w:hint="eastAsia" w:ascii="仿宋" w:hAnsi="仿宋" w:eastAsia="仿宋" w:cs="仿宋"/>
        </w:rPr>
        <w:t>。</w:t>
      </w:r>
    </w:p>
    <w:p w14:paraId="19E82D1A">
      <w:pPr>
        <w:pStyle w:val="6"/>
        <w:spacing w:before="0" w:beforeAutospacing="0" w:after="0" w:afterAutospacing="0" w:line="360" w:lineRule="auto"/>
        <w:ind w:firstLine="482" w:firstLineChars="200"/>
        <w:rPr>
          <w:rFonts w:hint="eastAsia" w:ascii="仿宋" w:hAnsi="仿宋" w:eastAsia="仿宋" w:cs="仿宋"/>
        </w:rPr>
      </w:pPr>
      <w:r>
        <w:rPr>
          <w:rStyle w:val="10"/>
          <w:rFonts w:hint="eastAsia" w:ascii="仿宋" w:hAnsi="仿宋" w:eastAsia="仿宋" w:cs="仿宋"/>
        </w:rPr>
        <w:t>施工内容</w:t>
      </w:r>
      <w:r>
        <w:rPr>
          <w:rFonts w:hint="eastAsia" w:ascii="仿宋" w:hAnsi="仿宋" w:eastAsia="仿宋" w:cs="仿宋"/>
        </w:rPr>
        <w:t>：</w:t>
      </w:r>
    </w:p>
    <w:tbl>
      <w:tblPr>
        <w:tblStyle w:val="7"/>
        <w:tblW w:w="92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25"/>
        <w:gridCol w:w="3136"/>
        <w:gridCol w:w="2699"/>
        <w:gridCol w:w="1500"/>
        <w:gridCol w:w="1095"/>
      </w:tblGrid>
      <w:tr w14:paraId="7C2F0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5D1A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序号</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9B204">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项目名称</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FA63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项目特征描述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0A51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计量单位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1E62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工程量</w:t>
            </w:r>
          </w:p>
        </w:tc>
      </w:tr>
      <w:tr w14:paraId="38E8C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543A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0AAE3">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路面清扫机</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150A7">
            <w:pPr>
              <w:jc w:val="center"/>
              <w:rPr>
                <w:rFonts w:hint="eastAsia" w:ascii="宋体" w:hAnsi="宋体" w:eastAsia="宋体" w:cs="宋体"/>
                <w:i w:val="0"/>
                <w:iCs w:val="0"/>
                <w:color w:val="000000"/>
                <w:sz w:val="28"/>
                <w:szCs w:val="2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8D42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台班</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7E4D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50.00 </w:t>
            </w:r>
          </w:p>
        </w:tc>
      </w:tr>
      <w:tr w14:paraId="1399E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D460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2</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0601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柴油路面铣刨机</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7C8C3">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1.宽度：2米</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118A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台班</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914A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30.00 </w:t>
            </w:r>
          </w:p>
        </w:tc>
      </w:tr>
      <w:tr w14:paraId="54D53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1E6A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3</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1D894">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轮胎式装载机</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EFB7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1.斗量：5m3</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CABF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台班</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C07E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50.00 </w:t>
            </w:r>
          </w:p>
        </w:tc>
      </w:tr>
      <w:tr w14:paraId="591B2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18E9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4</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6026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沥青摊铺机</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7F4A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1.装载质量：15T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931E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台班</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D806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55.00 </w:t>
            </w:r>
          </w:p>
        </w:tc>
      </w:tr>
      <w:tr w14:paraId="67F4B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62CE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5</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D870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双钢轮振动压路机（10-14吨）</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2623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1：10-14吨</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993C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台班</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4D6E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55.00 </w:t>
            </w:r>
          </w:p>
        </w:tc>
      </w:tr>
      <w:tr w14:paraId="52664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931C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6</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CF9E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小双钢轮振动压路机</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8676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1.工作质量：15T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5088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台班</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0E69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30.00 </w:t>
            </w:r>
          </w:p>
        </w:tc>
      </w:tr>
      <w:tr w14:paraId="207DB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87C1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7</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7BDE4">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轮胎压路机</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3B35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1.工作质量：26T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45AF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台班</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55D9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30.00 </w:t>
            </w:r>
          </w:p>
        </w:tc>
      </w:tr>
      <w:tr w14:paraId="7899F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5459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8</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59EB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洒水车</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E451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1.容量8000（L）</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75EA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台班</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586C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30.00 </w:t>
            </w:r>
          </w:p>
        </w:tc>
      </w:tr>
    </w:tbl>
    <w:p w14:paraId="1CF64BA0">
      <w:pPr>
        <w:pStyle w:val="6"/>
        <w:spacing w:before="0" w:beforeAutospacing="0" w:after="0" w:afterAutospacing="0" w:line="360" w:lineRule="auto"/>
        <w:rPr>
          <w:rFonts w:hint="eastAsia" w:ascii="仿宋" w:hAnsi="仿宋" w:eastAsia="仿宋" w:cs="仿宋"/>
          <w:b/>
        </w:rPr>
      </w:pPr>
    </w:p>
    <w:p w14:paraId="0065C89D">
      <w:pPr>
        <w:pStyle w:val="6"/>
        <w:spacing w:before="0" w:beforeAutospacing="0" w:after="0" w:afterAutospacing="0" w:line="360" w:lineRule="auto"/>
        <w:ind w:firstLine="482" w:firstLineChars="200"/>
        <w:rPr>
          <w:rFonts w:ascii="仿宋" w:hAnsi="仿宋" w:eastAsia="仿宋" w:cs="仿宋"/>
        </w:rPr>
      </w:pPr>
      <w:r>
        <w:rPr>
          <w:rFonts w:hint="eastAsia" w:ascii="仿宋" w:hAnsi="仿宋" w:eastAsia="仿宋" w:cs="仿宋"/>
          <w:b/>
        </w:rPr>
        <w:t>备注：完整具体工程量和施工内容以招标清单和项目进场后现场交底和收方为准。</w:t>
      </w:r>
    </w:p>
    <w:p w14:paraId="3BB2476F">
      <w:pPr>
        <w:pStyle w:val="6"/>
        <w:spacing w:before="0" w:beforeAutospacing="0" w:after="60" w:afterAutospacing="0" w:line="360" w:lineRule="auto"/>
        <w:ind w:firstLine="482" w:firstLineChars="200"/>
        <w:rPr>
          <w:rFonts w:hint="eastAsia" w:asciiTheme="minorEastAsia" w:hAnsiTheme="minorEastAsia" w:eastAsiaTheme="minorEastAsia" w:cstheme="minorEastAsia"/>
          <w:color w:val="auto"/>
          <w:kern w:val="0"/>
          <w:szCs w:val="21"/>
          <w:highlight w:val="none"/>
          <w:lang w:val="en-US" w:eastAsia="zh-CN"/>
        </w:rPr>
      </w:pPr>
      <w:r>
        <w:rPr>
          <w:rStyle w:val="10"/>
          <w:rFonts w:hint="eastAsia" w:ascii="仿宋" w:hAnsi="仿宋" w:eastAsia="仿宋" w:cs="仿宋"/>
        </w:rPr>
        <w:t>工期节点</w:t>
      </w:r>
      <w:r>
        <w:rPr>
          <w:rFonts w:hint="eastAsia" w:ascii="仿宋" w:hAnsi="仿宋" w:eastAsia="仿宋" w:cs="仿宋"/>
        </w:rPr>
        <w:t>：</w:t>
      </w:r>
      <w:r>
        <w:rPr>
          <w:rFonts w:hint="eastAsia" w:asciiTheme="minorEastAsia" w:hAnsiTheme="minorEastAsia" w:eastAsiaTheme="minorEastAsia" w:cstheme="minorEastAsia"/>
          <w:color w:val="auto"/>
          <w:kern w:val="0"/>
          <w:szCs w:val="21"/>
          <w:highlight w:val="none"/>
          <w:lang w:val="en-US" w:eastAsia="zh-CN"/>
        </w:rPr>
        <w:t>单台机械</w:t>
      </w:r>
      <w:r>
        <w:rPr>
          <w:rFonts w:hint="eastAsia" w:asciiTheme="minorEastAsia" w:hAnsiTheme="minorEastAsia" w:eastAsiaTheme="minorEastAsia" w:cstheme="minorEastAsia"/>
          <w:color w:val="auto"/>
          <w:kern w:val="0"/>
          <w:szCs w:val="21"/>
          <w:highlight w:val="none"/>
        </w:rPr>
        <w:t>租赁期限暂定为</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val="en-US" w:eastAsia="zh-CN"/>
        </w:rPr>
        <w:t>171</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lang w:val="en-US" w:eastAsia="zh-CN"/>
        </w:rPr>
        <w:t>日历日</w:t>
      </w:r>
      <w:r>
        <w:rPr>
          <w:rFonts w:hint="eastAsia" w:asciiTheme="minorEastAsia" w:hAnsiTheme="minorEastAsia" w:eastAsiaTheme="minorEastAsia" w:cstheme="minorEastAsia"/>
          <w:color w:val="auto"/>
          <w:kern w:val="0"/>
          <w:sz w:val="21"/>
          <w:szCs w:val="21"/>
          <w:highlight w:val="none"/>
          <w:lang w:val="en-US" w:eastAsia="zh-CN" w:bidi="ar"/>
        </w:rPr>
        <w:t>，</w:t>
      </w:r>
      <w:r>
        <w:rPr>
          <w:rFonts w:hint="eastAsia" w:asciiTheme="minorEastAsia" w:hAnsiTheme="minorEastAsia" w:eastAsiaTheme="minorEastAsia" w:cstheme="minorEastAsia"/>
          <w:color w:val="auto"/>
          <w:kern w:val="0"/>
          <w:szCs w:val="21"/>
          <w:highlight w:val="none"/>
          <w:lang w:val="en-US" w:eastAsia="zh-CN"/>
        </w:rPr>
        <w:t>具体进、退场时间根据项目部施工进度安排。</w:t>
      </w:r>
    </w:p>
    <w:p w14:paraId="3C0E9666">
      <w:pPr>
        <w:pStyle w:val="2"/>
        <w:widowControl/>
        <w:spacing w:beforeAutospacing="0" w:afterAutospacing="0" w:line="360" w:lineRule="auto"/>
        <w:rPr>
          <w:rStyle w:val="10"/>
          <w:rFonts w:hint="default" w:ascii="仿宋" w:hAnsi="仿宋" w:eastAsia="仿宋" w:cs="仿宋"/>
          <w:b/>
          <w:bCs/>
          <w:sz w:val="28"/>
          <w:szCs w:val="28"/>
        </w:rPr>
      </w:pPr>
      <w:r>
        <w:rPr>
          <w:rStyle w:val="10"/>
          <w:rFonts w:ascii="仿宋" w:hAnsi="仿宋" w:eastAsia="仿宋" w:cs="仿宋"/>
          <w:b/>
          <w:bCs/>
          <w:sz w:val="28"/>
          <w:szCs w:val="28"/>
        </w:rPr>
        <w:t>二、施工技术要求</w:t>
      </w:r>
    </w:p>
    <w:p w14:paraId="622BA427">
      <w:pPr>
        <w:spacing w:line="360" w:lineRule="auto"/>
        <w:ind w:firstLine="435"/>
        <w:rPr>
          <w:rFonts w:ascii="仿宋" w:hAnsi="仿宋" w:eastAsia="仿宋"/>
          <w:sz w:val="24"/>
        </w:rPr>
      </w:pPr>
      <w:r>
        <w:rPr>
          <w:rFonts w:hint="eastAsia" w:ascii="仿宋" w:hAnsi="仿宋" w:eastAsia="仿宋"/>
          <w:b/>
          <w:sz w:val="24"/>
        </w:rPr>
        <w:t>1、施工管理要求</w:t>
      </w:r>
      <w:r>
        <w:rPr>
          <w:rFonts w:hint="eastAsia" w:ascii="仿宋" w:hAnsi="仿宋" w:eastAsia="仿宋"/>
        </w:rPr>
        <w:t>：</w:t>
      </w:r>
      <w:r>
        <w:rPr>
          <w:rFonts w:hint="eastAsia" w:ascii="仿宋" w:hAnsi="仿宋" w:eastAsia="仿宋"/>
          <w:sz w:val="24"/>
        </w:rPr>
        <w:t>现场因施工</w:t>
      </w:r>
      <w:r>
        <w:rPr>
          <w:rFonts w:hint="eastAsia" w:ascii="仿宋" w:hAnsi="仿宋" w:eastAsia="仿宋"/>
          <w:sz w:val="24"/>
          <w:lang w:val="en-US" w:eastAsia="zh-CN"/>
        </w:rPr>
        <w:t>要求</w:t>
      </w:r>
      <w:r>
        <w:rPr>
          <w:rFonts w:hint="eastAsia" w:ascii="仿宋" w:hAnsi="仿宋" w:eastAsia="仿宋"/>
          <w:sz w:val="24"/>
        </w:rPr>
        <w:t>需分段封闭、</w:t>
      </w:r>
      <w:bookmarkStart w:id="2" w:name="_GoBack"/>
      <w:bookmarkEnd w:id="2"/>
      <w:r>
        <w:rPr>
          <w:rFonts w:hint="eastAsia" w:ascii="仿宋" w:hAnsi="仿宋" w:eastAsia="仿宋"/>
          <w:sz w:val="24"/>
        </w:rPr>
        <w:t>分段施工以及多专业交叉施工等情况，乙方需无条件配合甲方施工安排进行施工。根据现场施工进度</w:t>
      </w:r>
      <w:r>
        <w:rPr>
          <w:rFonts w:hint="eastAsia" w:ascii="仿宋" w:hAnsi="仿宋" w:eastAsia="仿宋"/>
          <w:sz w:val="24"/>
          <w:lang w:val="en-US" w:eastAsia="zh-CN"/>
        </w:rPr>
        <w:t>和计划要求安排，甲方组织进行分段分区域场地移交。乙方正式签收接收场地后需及时组织进行施工，涉及到道路沥青施工需在施工前提交此段区域施工必要的临时围闭和交通疏导施工方案至甲方审核，甲方同步向</w:t>
      </w:r>
      <w:r>
        <w:rPr>
          <w:rFonts w:hint="eastAsia" w:ascii="仿宋" w:hAnsi="仿宋" w:eastAsia="仿宋"/>
          <w:sz w:val="24"/>
        </w:rPr>
        <w:t>相关</w:t>
      </w:r>
      <w:r>
        <w:rPr>
          <w:rFonts w:hint="eastAsia" w:ascii="仿宋" w:hAnsi="仿宋" w:eastAsia="仿宋"/>
          <w:sz w:val="24"/>
          <w:lang w:val="en-US" w:eastAsia="zh-CN"/>
        </w:rPr>
        <w:t>主管</w:t>
      </w:r>
      <w:r>
        <w:rPr>
          <w:rFonts w:hint="eastAsia" w:ascii="仿宋" w:hAnsi="仿宋" w:eastAsia="仿宋"/>
          <w:sz w:val="24"/>
        </w:rPr>
        <w:t>单位报备</w:t>
      </w:r>
      <w:r>
        <w:rPr>
          <w:rFonts w:hint="eastAsia" w:ascii="仿宋" w:hAnsi="仿宋" w:eastAsia="仿宋"/>
          <w:sz w:val="24"/>
          <w:lang w:eastAsia="zh-CN"/>
        </w:rPr>
        <w:t>，</w:t>
      </w:r>
      <w:r>
        <w:rPr>
          <w:rFonts w:hint="eastAsia" w:ascii="仿宋" w:hAnsi="仿宋" w:eastAsia="仿宋"/>
          <w:sz w:val="24"/>
          <w:lang w:val="en-US" w:eastAsia="zh-CN"/>
        </w:rPr>
        <w:t>经同意后方可进行施工</w:t>
      </w:r>
      <w:r>
        <w:rPr>
          <w:rFonts w:hint="eastAsia" w:ascii="仿宋" w:hAnsi="仿宋" w:eastAsia="仿宋"/>
          <w:sz w:val="24"/>
          <w:lang w:eastAsia="zh-CN"/>
        </w:rPr>
        <w:t>。</w:t>
      </w:r>
      <w:r>
        <w:rPr>
          <w:rFonts w:hint="eastAsia" w:ascii="仿宋" w:hAnsi="仿宋" w:eastAsia="仿宋"/>
          <w:sz w:val="24"/>
        </w:rPr>
        <w:t>现场施工时对有可能因施工导致对其他成品造成破坏的需进行有必要合理的保护措施</w:t>
      </w:r>
      <w:r>
        <w:rPr>
          <w:rFonts w:hint="eastAsia" w:ascii="仿宋" w:hAnsi="仿宋" w:eastAsia="仿宋"/>
          <w:sz w:val="24"/>
          <w:lang w:eastAsia="zh-CN"/>
        </w:rPr>
        <w:t>（</w:t>
      </w:r>
      <w:r>
        <w:rPr>
          <w:rFonts w:hint="eastAsia" w:ascii="仿宋" w:hAnsi="仿宋" w:eastAsia="仿宋"/>
          <w:sz w:val="24"/>
          <w:lang w:val="en-US" w:eastAsia="zh-CN"/>
        </w:rPr>
        <w:t>不限于道路两侧道牙、安装完成的井盖雨水篦子等</w:t>
      </w:r>
      <w:r>
        <w:rPr>
          <w:rFonts w:hint="eastAsia" w:ascii="仿宋" w:hAnsi="仿宋" w:eastAsia="仿宋"/>
          <w:sz w:val="24"/>
          <w:lang w:eastAsia="zh-CN"/>
        </w:rPr>
        <w:t>）</w:t>
      </w:r>
      <w:r>
        <w:rPr>
          <w:rFonts w:hint="eastAsia" w:ascii="仿宋" w:hAnsi="仿宋" w:eastAsia="仿宋"/>
          <w:sz w:val="24"/>
        </w:rPr>
        <w:t>，如后续施工过程中因乙方施工操作、管理不当等原因造成对其他成品造成破坏的一切责任损失由乙方承担。</w:t>
      </w:r>
    </w:p>
    <w:p w14:paraId="272F57B0">
      <w:pPr>
        <w:spacing w:line="360" w:lineRule="auto"/>
        <w:ind w:firstLine="435"/>
        <w:rPr>
          <w:rFonts w:ascii="仿宋" w:hAnsi="仿宋" w:eastAsia="仿宋"/>
          <w:sz w:val="24"/>
        </w:rPr>
      </w:pPr>
      <w:r>
        <w:rPr>
          <w:rFonts w:hint="eastAsia" w:ascii="仿宋" w:hAnsi="仿宋" w:eastAsia="仿宋"/>
          <w:b/>
          <w:sz w:val="24"/>
        </w:rPr>
        <w:t>2、施工质量标准</w:t>
      </w:r>
      <w:r>
        <w:rPr>
          <w:rFonts w:hint="eastAsia" w:ascii="仿宋" w:hAnsi="仿宋" w:eastAsia="仿宋"/>
          <w:sz w:val="24"/>
        </w:rPr>
        <w:t>： 按照设计图纸和合同要求内容进行施工</w:t>
      </w:r>
      <w:r>
        <w:rPr>
          <w:rFonts w:hint="eastAsia" w:ascii="仿宋" w:hAnsi="仿宋" w:eastAsia="仿宋"/>
          <w:sz w:val="24"/>
          <w:lang w:eastAsia="zh-CN"/>
        </w:rPr>
        <w:t>，</w:t>
      </w:r>
      <w:r>
        <w:rPr>
          <w:rFonts w:hint="eastAsia" w:ascii="仿宋" w:hAnsi="仿宋" w:eastAsia="仿宋"/>
          <w:sz w:val="24"/>
        </w:rPr>
        <w:t>对</w:t>
      </w:r>
      <w:r>
        <w:rPr>
          <w:rFonts w:hint="eastAsia" w:ascii="仿宋" w:hAnsi="仿宋" w:eastAsia="仿宋"/>
          <w:sz w:val="24"/>
          <w:lang w:val="en-US" w:eastAsia="zh-CN"/>
        </w:rPr>
        <w:t>施工过程中</w:t>
      </w:r>
      <w:r>
        <w:rPr>
          <w:rFonts w:hint="eastAsia" w:ascii="仿宋" w:hAnsi="仿宋" w:eastAsia="仿宋"/>
          <w:sz w:val="24"/>
        </w:rPr>
        <w:t>产生的建筑垃圾必须外运堆场地点必须报备至甲方同意且监管部门认可，同时乙方负责办理相关垃圾外运及堆放手续。</w:t>
      </w:r>
      <w:r>
        <w:rPr>
          <w:rFonts w:hint="eastAsia" w:ascii="仿宋" w:hAnsi="仿宋" w:eastAsia="仿宋"/>
          <w:sz w:val="24"/>
          <w:lang w:val="en-US" w:eastAsia="zh-CN"/>
        </w:rPr>
        <w:t>进场施工前</w:t>
      </w:r>
      <w:r>
        <w:rPr>
          <w:rFonts w:hint="eastAsia" w:ascii="仿宋" w:hAnsi="仿宋" w:eastAsia="仿宋"/>
          <w:sz w:val="24"/>
        </w:rPr>
        <w:t>必须进行放线测量确认，如施工过程中发现现场实际情况与图纸、合同不符时及时通知甲方进行确认。</w:t>
      </w:r>
    </w:p>
    <w:p w14:paraId="072E99ED">
      <w:pPr>
        <w:pStyle w:val="2"/>
        <w:widowControl/>
        <w:spacing w:beforeAutospacing="0" w:line="360" w:lineRule="auto"/>
        <w:rPr>
          <w:rStyle w:val="10"/>
          <w:rFonts w:hint="default" w:ascii="仿宋" w:hAnsi="仿宋" w:eastAsia="仿宋" w:cs="仿宋"/>
          <w:b/>
          <w:bCs/>
          <w:sz w:val="28"/>
          <w:szCs w:val="28"/>
        </w:rPr>
      </w:pPr>
      <w:r>
        <w:rPr>
          <w:rStyle w:val="10"/>
          <w:rFonts w:ascii="仿宋" w:hAnsi="仿宋" w:eastAsia="仿宋" w:cs="仿宋"/>
          <w:b/>
          <w:bCs/>
          <w:sz w:val="28"/>
          <w:szCs w:val="28"/>
        </w:rPr>
        <w:t>三、验收标准与罚则</w:t>
      </w:r>
    </w:p>
    <w:p w14:paraId="1F5CC3F0">
      <w:pPr>
        <w:pStyle w:val="6"/>
        <w:spacing w:before="0" w:beforeAutospacing="0" w:after="0" w:afterAutospacing="0" w:line="360" w:lineRule="auto"/>
        <w:ind w:firstLine="482" w:firstLineChars="200"/>
        <w:rPr>
          <w:rStyle w:val="10"/>
          <w:rFonts w:ascii="仿宋" w:hAnsi="仿宋" w:eastAsia="仿宋" w:cs="仿宋"/>
          <w:b w:val="0"/>
          <w:bCs w:val="0"/>
        </w:rPr>
      </w:pPr>
      <w:r>
        <w:rPr>
          <w:rStyle w:val="10"/>
          <w:rFonts w:hint="eastAsia" w:ascii="仿宋" w:hAnsi="仿宋" w:eastAsia="仿宋" w:cs="仿宋"/>
        </w:rPr>
        <w:t>1、验收依据：</w:t>
      </w:r>
      <w:r>
        <w:rPr>
          <w:rStyle w:val="10"/>
          <w:rFonts w:hint="eastAsia" w:ascii="仿宋" w:hAnsi="仿宋" w:eastAsia="仿宋" w:cs="仿宋"/>
          <w:b w:val="0"/>
          <w:bCs w:val="0"/>
        </w:rPr>
        <w:t>甲方确认的样板效果/现场样板段以及图纸要求。</w:t>
      </w:r>
    </w:p>
    <w:p w14:paraId="2C8EC284">
      <w:pPr>
        <w:pStyle w:val="6"/>
        <w:spacing w:before="0" w:beforeAutospacing="0" w:after="0" w:afterAutospacing="0" w:line="360" w:lineRule="auto"/>
        <w:ind w:firstLine="482" w:firstLineChars="200"/>
        <w:rPr>
          <w:rStyle w:val="10"/>
          <w:rFonts w:ascii="仿宋" w:hAnsi="仿宋" w:eastAsia="仿宋" w:cs="仿宋"/>
          <w:b w:val="0"/>
          <w:bCs w:val="0"/>
        </w:rPr>
      </w:pPr>
      <w:r>
        <w:rPr>
          <w:rStyle w:val="10"/>
          <w:rFonts w:hint="eastAsia" w:ascii="仿宋" w:hAnsi="仿宋" w:eastAsia="仿宋" w:cs="仿宋"/>
        </w:rPr>
        <w:t>2、不合格处理：</w:t>
      </w:r>
      <w:r>
        <w:rPr>
          <w:rStyle w:val="10"/>
          <w:rFonts w:hint="eastAsia" w:ascii="仿宋" w:hAnsi="仿宋" w:eastAsia="仿宋" w:cs="仿宋"/>
          <w:b w:val="0"/>
          <w:bCs w:val="0"/>
        </w:rPr>
        <w:t>施工不合格以及施工过程中意外造成其他无需拆除或已完工的区域或物品损坏的需24小时内返工，费用由乙方承担。（整改超出时限要求进行500元/次进行处罚）</w:t>
      </w:r>
    </w:p>
    <w:p w14:paraId="03536C54">
      <w:pPr>
        <w:pStyle w:val="2"/>
        <w:widowControl/>
        <w:spacing w:beforeAutospacing="0" w:line="360" w:lineRule="auto"/>
        <w:rPr>
          <w:rStyle w:val="10"/>
          <w:rFonts w:hint="default" w:ascii="仿宋" w:hAnsi="仿宋" w:eastAsia="仿宋" w:cs="仿宋"/>
          <w:b/>
          <w:bCs/>
          <w:sz w:val="28"/>
          <w:szCs w:val="28"/>
        </w:rPr>
      </w:pPr>
      <w:r>
        <w:rPr>
          <w:rStyle w:val="10"/>
          <w:rFonts w:ascii="仿宋" w:hAnsi="仿宋" w:eastAsia="仿宋" w:cs="仿宋"/>
          <w:b/>
          <w:bCs/>
          <w:sz w:val="28"/>
          <w:szCs w:val="28"/>
        </w:rPr>
        <w:t>四、安全文明施工要求</w:t>
      </w:r>
    </w:p>
    <w:p w14:paraId="66E7E99C">
      <w:pPr>
        <w:pStyle w:val="6"/>
        <w:spacing w:line="360" w:lineRule="auto"/>
        <w:ind w:firstLine="482" w:firstLineChars="200"/>
        <w:rPr>
          <w:rStyle w:val="10"/>
          <w:rFonts w:ascii="仿宋" w:hAnsi="仿宋" w:eastAsia="仿宋" w:cs="仿宋"/>
          <w:b w:val="0"/>
          <w:bCs w:val="0"/>
        </w:rPr>
      </w:pPr>
      <w:r>
        <w:rPr>
          <w:rStyle w:val="10"/>
          <w:rFonts w:hint="eastAsia" w:ascii="仿宋" w:hAnsi="仿宋" w:eastAsia="仿宋" w:cs="仿宋"/>
        </w:rPr>
        <w:t>1、安全操作及人员管理：</w:t>
      </w:r>
      <w:r>
        <w:rPr>
          <w:rStyle w:val="10"/>
          <w:rFonts w:hint="eastAsia" w:ascii="仿宋" w:hAnsi="仿宋" w:eastAsia="仿宋" w:cs="仿宋"/>
          <w:b w:val="0"/>
        </w:rPr>
        <w:t>所有人员</w:t>
      </w:r>
      <w:r>
        <w:rPr>
          <w:rStyle w:val="10"/>
          <w:rFonts w:hint="eastAsia" w:ascii="仿宋" w:hAnsi="仿宋" w:eastAsia="仿宋" w:cs="仿宋"/>
          <w:b w:val="0"/>
          <w:bCs w:val="0"/>
        </w:rPr>
        <w:t>进场前完成安全培训及技术交底；特殊工种（挖机、起重机等设备操作人员）必须持有效证件，人证合一。机械操作人员必须身体健康，无妨碍安全操作的疾病（如心脏病、癫痫、色盲等）。严禁疲劳驾驶、酒后驾驶。现场机械设备作业及运输车辆工作必须严格遵守甲方安全管理要求，包括现场机械设备作业时必须配备专职人员进行旁站指挥，运输车辆工作时交通安全，过程中如因乙方违反安全驾驶、机械设备违规操作等原因产生的事故损失完全由乙方承担。</w:t>
      </w:r>
    </w:p>
    <w:p w14:paraId="4AC66838">
      <w:pPr>
        <w:pStyle w:val="6"/>
        <w:spacing w:before="0" w:beforeAutospacing="0" w:after="0" w:afterAutospacing="0" w:line="360" w:lineRule="auto"/>
        <w:ind w:firstLine="482" w:firstLineChars="200"/>
        <w:rPr>
          <w:rFonts w:hint="eastAsia" w:ascii="仿宋" w:hAnsi="仿宋" w:eastAsia="仿宋"/>
        </w:rPr>
      </w:pPr>
      <w:r>
        <w:rPr>
          <w:rStyle w:val="10"/>
          <w:rFonts w:hint="eastAsia" w:ascii="仿宋" w:hAnsi="仿宋" w:eastAsia="仿宋" w:cs="仿宋"/>
        </w:rPr>
        <w:t>2、机械设备管理：</w:t>
      </w:r>
      <w:r>
        <w:rPr>
          <w:rFonts w:hint="eastAsia" w:ascii="仿宋" w:hAnsi="仿宋" w:eastAsia="仿宋"/>
        </w:rPr>
        <w:t>本项目所有机械设备（</w:t>
      </w:r>
      <w:r>
        <w:rPr>
          <w:rFonts w:hint="eastAsia" w:ascii="仿宋" w:hAnsi="仿宋" w:eastAsia="仿宋"/>
          <w:lang w:val="en-US" w:eastAsia="zh-CN"/>
        </w:rPr>
        <w:t>摊铺机</w:t>
      </w:r>
      <w:r>
        <w:rPr>
          <w:rFonts w:hint="eastAsia" w:ascii="仿宋" w:hAnsi="仿宋" w:eastAsia="仿宋"/>
        </w:rPr>
        <w:t>、装载机、压路机、运输车等）必须已在国家相关部门注册登记，拥有有效的行驶证/登记证（土方车）等相关证件。所有机械设备进场前必须提供相关</w:t>
      </w:r>
      <w:r>
        <w:rPr>
          <w:rFonts w:hint="eastAsia" w:ascii="MS Gothic" w:hAnsi="MS Gothic" w:eastAsia="MS Gothic" w:cs="MS Gothic"/>
        </w:rPr>
        <w:t>‌</w:t>
      </w:r>
      <w:r>
        <w:rPr>
          <w:rFonts w:hint="eastAsia" w:ascii="仿宋" w:hAnsi="仿宋" w:eastAsia="仿宋"/>
        </w:rPr>
        <w:t>设备生产许可证、出厂合格证和质保书，检验合格证明（如适用）。</w:t>
      </w:r>
      <w:r>
        <w:rPr>
          <w:rFonts w:hint="eastAsia" w:ascii="MS Gothic" w:hAnsi="MS Gothic" w:eastAsia="MS Gothic" w:cs="MS Gothic"/>
        </w:rPr>
        <w:t>‌</w:t>
      </w:r>
      <w:r>
        <w:rPr>
          <w:rFonts w:hint="eastAsia" w:ascii="仿宋" w:hAnsi="仿宋" w:eastAsia="仿宋"/>
        </w:rPr>
        <w:t>如果涉及特种设备（如某些大型起重设备），必须持有有效的《特种设备使用登记证》和定期检验合格报告，相关操作作业人员也必须持有特种设备操作证（如涉及）、驾驶证等相关证件。</w:t>
      </w:r>
    </w:p>
    <w:p w14:paraId="3387F8DE">
      <w:pPr>
        <w:pStyle w:val="6"/>
        <w:spacing w:before="0" w:beforeAutospacing="0" w:after="0" w:afterAutospacing="0" w:line="360" w:lineRule="auto"/>
        <w:ind w:firstLine="480" w:firstLineChars="200"/>
        <w:rPr>
          <w:rFonts w:ascii="仿宋" w:hAnsi="仿宋" w:eastAsia="仿宋" w:cs="Arial"/>
          <w:color w:val="333333"/>
        </w:rPr>
      </w:pPr>
      <w:r>
        <w:rPr>
          <w:rStyle w:val="10"/>
          <w:rFonts w:hint="eastAsia" w:ascii="仿宋" w:hAnsi="仿宋" w:eastAsia="仿宋" w:cs="仿宋"/>
          <w:b w:val="0"/>
        </w:rPr>
        <w:t>机械设备</w:t>
      </w:r>
      <w:r>
        <w:rPr>
          <w:rFonts w:ascii="仿宋" w:hAnsi="仿宋" w:eastAsia="仿宋" w:cs="Arial"/>
          <w:color w:val="333333"/>
        </w:rPr>
        <w:t>必须按照制造商要求和相关规范（如《建筑机械使用安全技术规程》JGJ 33）进行定期、规范的维护保养，保持良好的运行状态</w:t>
      </w:r>
      <w:r>
        <w:rPr>
          <w:rFonts w:hint="eastAsia" w:ascii="仿宋" w:hAnsi="仿宋" w:eastAsia="仿宋" w:cs="Arial"/>
          <w:color w:val="333333"/>
        </w:rPr>
        <w:t>。</w:t>
      </w:r>
      <w:r>
        <w:rPr>
          <w:rFonts w:ascii="仿宋" w:hAnsi="仿宋" w:eastAsia="仿宋" w:cs="Arial"/>
          <w:color w:val="333333"/>
        </w:rPr>
        <w:t>所有机械设备第一次进场时需提供近期</w:t>
      </w:r>
      <w:r>
        <w:rPr>
          <w:rFonts w:hint="eastAsia" w:ascii="仿宋" w:hAnsi="仿宋" w:eastAsia="仿宋" w:cs="Arial"/>
          <w:color w:val="333333"/>
        </w:rPr>
        <w:t>（1个月内）的维护保养记录证明，后续在工程施工期间按照维护保养规定期限定期完成保养并及时提交维护保养记录证明直至设备完工退场</w:t>
      </w:r>
      <w:r>
        <w:rPr>
          <w:rFonts w:ascii="仿宋" w:hAnsi="仿宋" w:eastAsia="仿宋" w:cs="Arial"/>
          <w:color w:val="333333"/>
        </w:rPr>
        <w:t>。设备进入施工现场前，必须经过</w:t>
      </w:r>
      <w:r>
        <w:rPr>
          <w:rFonts w:hint="eastAsia" w:ascii="仿宋" w:hAnsi="仿宋" w:eastAsia="仿宋" w:cs="Arial"/>
          <w:color w:val="333333"/>
        </w:rPr>
        <w:t>甲方</w:t>
      </w:r>
      <w:r>
        <w:rPr>
          <w:rFonts w:ascii="仿宋" w:hAnsi="仿宋" w:eastAsia="仿宋" w:cs="Arial"/>
          <w:color w:val="333333"/>
        </w:rPr>
        <w:t>（或监理单位）的严格检查，确保：</w:t>
      </w:r>
    </w:p>
    <w:p w14:paraId="026335E4">
      <w:pPr>
        <w:pStyle w:val="11"/>
        <w:widowControl/>
        <w:numPr>
          <w:ilvl w:val="0"/>
          <w:numId w:val="1"/>
        </w:numPr>
        <w:shd w:val="clear" w:color="auto" w:fill="FFFFFF"/>
        <w:spacing w:before="90" w:after="90" w:line="420" w:lineRule="atLeast"/>
        <w:ind w:firstLineChars="0"/>
        <w:jc w:val="left"/>
        <w:rPr>
          <w:rFonts w:ascii="仿宋" w:hAnsi="仿宋" w:eastAsia="仿宋" w:cs="Arial"/>
          <w:color w:val="333333"/>
          <w:kern w:val="0"/>
          <w:sz w:val="24"/>
          <w:szCs w:val="24"/>
        </w:rPr>
      </w:pPr>
      <w:r>
        <w:rPr>
          <w:rFonts w:ascii="仿宋" w:hAnsi="仿宋" w:eastAsia="仿宋" w:cs="Arial"/>
          <w:color w:val="333333"/>
          <w:kern w:val="0"/>
          <w:sz w:val="24"/>
          <w:szCs w:val="24"/>
        </w:rPr>
        <w:t>结构件无严重变形、裂纹或磨损超标。</w:t>
      </w:r>
    </w:p>
    <w:p w14:paraId="33172C1E">
      <w:pPr>
        <w:pStyle w:val="11"/>
        <w:widowControl/>
        <w:numPr>
          <w:ilvl w:val="0"/>
          <w:numId w:val="1"/>
        </w:numPr>
        <w:shd w:val="clear" w:color="auto" w:fill="FFFFFF"/>
        <w:spacing w:before="90" w:after="90" w:line="420" w:lineRule="atLeast"/>
        <w:ind w:firstLineChars="0"/>
        <w:jc w:val="left"/>
        <w:rPr>
          <w:rFonts w:ascii="仿宋" w:hAnsi="仿宋" w:eastAsia="仿宋" w:cs="Arial"/>
          <w:color w:val="333333"/>
          <w:kern w:val="0"/>
          <w:sz w:val="24"/>
          <w:szCs w:val="24"/>
        </w:rPr>
      </w:pPr>
      <w:r>
        <w:rPr>
          <w:rFonts w:ascii="仿宋" w:hAnsi="仿宋" w:eastAsia="仿宋" w:cs="Arial"/>
          <w:color w:val="333333"/>
          <w:kern w:val="0"/>
          <w:sz w:val="24"/>
          <w:szCs w:val="24"/>
        </w:rPr>
        <w:t>发动机、液压系统、传动系统、制动系统、转向系统工作正常，无泄漏。</w:t>
      </w:r>
    </w:p>
    <w:p w14:paraId="1B044EE6">
      <w:pPr>
        <w:pStyle w:val="11"/>
        <w:widowControl/>
        <w:numPr>
          <w:ilvl w:val="0"/>
          <w:numId w:val="1"/>
        </w:numPr>
        <w:shd w:val="clear" w:color="auto" w:fill="FFFFFF"/>
        <w:spacing w:before="90" w:after="90" w:line="420" w:lineRule="atLeast"/>
        <w:ind w:firstLineChars="0"/>
        <w:jc w:val="left"/>
        <w:rPr>
          <w:rFonts w:ascii="仿宋" w:hAnsi="仿宋" w:eastAsia="仿宋" w:cs="Arial"/>
          <w:color w:val="333333"/>
          <w:kern w:val="0"/>
          <w:sz w:val="24"/>
          <w:szCs w:val="24"/>
        </w:rPr>
      </w:pPr>
      <w:r>
        <w:rPr>
          <w:rFonts w:ascii="仿宋" w:hAnsi="仿宋" w:eastAsia="仿宋" w:cs="Arial"/>
          <w:color w:val="333333"/>
          <w:kern w:val="0"/>
          <w:sz w:val="24"/>
          <w:szCs w:val="24"/>
        </w:rPr>
        <w:t>安全装置齐全有效：</w:t>
      </w:r>
    </w:p>
    <w:p w14:paraId="0F53896D">
      <w:pPr>
        <w:pStyle w:val="11"/>
        <w:widowControl/>
        <w:numPr>
          <w:ilvl w:val="0"/>
          <w:numId w:val="2"/>
        </w:numPr>
        <w:shd w:val="clear" w:color="auto" w:fill="FFFFFF"/>
        <w:spacing w:before="90" w:after="90" w:line="420" w:lineRule="atLeast"/>
        <w:ind w:firstLineChars="0"/>
        <w:jc w:val="left"/>
        <w:rPr>
          <w:rFonts w:ascii="仿宋" w:hAnsi="仿宋" w:eastAsia="仿宋" w:cs="Arial"/>
          <w:color w:val="333333"/>
          <w:kern w:val="0"/>
          <w:sz w:val="24"/>
          <w:szCs w:val="24"/>
        </w:rPr>
      </w:pPr>
      <w:r>
        <w:rPr>
          <w:rFonts w:ascii="仿宋" w:hAnsi="仿宋" w:eastAsia="仿宋" w:cs="Arial"/>
          <w:color w:val="333333"/>
          <w:kern w:val="0"/>
          <w:sz w:val="24"/>
          <w:szCs w:val="24"/>
        </w:rPr>
        <w:t>挖掘机/装载机：喇叭、倒车报警器、灯光（尤其是夜间作业）、后视镜、安全带、驾驶室防护结构（FOPS/ROPS认证）等。</w:t>
      </w:r>
    </w:p>
    <w:p w14:paraId="5A5BE6EE">
      <w:pPr>
        <w:pStyle w:val="11"/>
        <w:widowControl/>
        <w:numPr>
          <w:ilvl w:val="0"/>
          <w:numId w:val="3"/>
        </w:numPr>
        <w:shd w:val="clear" w:color="auto" w:fill="FFFFFF"/>
        <w:spacing w:line="420" w:lineRule="atLeast"/>
        <w:ind w:firstLineChars="0"/>
        <w:jc w:val="left"/>
        <w:rPr>
          <w:rStyle w:val="10"/>
          <w:rFonts w:ascii="仿宋" w:hAnsi="仿宋" w:eastAsia="仿宋" w:cs="Arial"/>
          <w:b w:val="0"/>
          <w:bCs w:val="0"/>
          <w:color w:val="333333"/>
          <w:kern w:val="0"/>
          <w:sz w:val="24"/>
          <w:szCs w:val="24"/>
        </w:rPr>
      </w:pPr>
      <w:r>
        <w:rPr>
          <w:rFonts w:ascii="仿宋" w:hAnsi="仿宋" w:eastAsia="仿宋" w:cs="Arial"/>
          <w:color w:val="333333"/>
          <w:kern w:val="0"/>
          <w:sz w:val="24"/>
          <w:szCs w:val="24"/>
        </w:rPr>
        <w:t>土方车：灯光、刹车系统（含驻车制动）、轮胎状况、反光标识、放大号牌、GPS定位系统、</w:t>
      </w:r>
      <w:r>
        <w:rPr>
          <w:rFonts w:hint="eastAsia" w:ascii="MS Gothic" w:hAnsi="MS Gothic" w:eastAsia="MS Gothic" w:cs="MS Gothic"/>
          <w:color w:val="333333"/>
          <w:kern w:val="0"/>
          <w:sz w:val="24"/>
          <w:szCs w:val="24"/>
        </w:rPr>
        <w:t>‌</w:t>
      </w:r>
      <w:r>
        <w:rPr>
          <w:rFonts w:ascii="仿宋" w:hAnsi="仿宋" w:eastAsia="仿宋" w:cs="Arial"/>
          <w:b/>
          <w:bCs/>
          <w:color w:val="333333"/>
          <w:kern w:val="0"/>
          <w:sz w:val="24"/>
          <w:szCs w:val="24"/>
        </w:rPr>
        <w:t>密闭覆盖装置（必须完好有效，能完全覆盖车厢，防止渣土撒漏）</w:t>
      </w:r>
      <w:r>
        <w:rPr>
          <w:rFonts w:hint="eastAsia" w:ascii="MS Gothic" w:hAnsi="MS Gothic" w:eastAsia="MS Gothic" w:cs="MS Gothic"/>
          <w:color w:val="333333"/>
          <w:kern w:val="0"/>
          <w:sz w:val="24"/>
          <w:szCs w:val="24"/>
        </w:rPr>
        <w:t>‌</w:t>
      </w:r>
      <w:r>
        <w:rPr>
          <w:rFonts w:ascii="仿宋" w:hAnsi="仿宋" w:eastAsia="仿宋" w:cs="Arial"/>
          <w:color w:val="333333"/>
          <w:kern w:val="0"/>
          <w:sz w:val="24"/>
          <w:szCs w:val="24"/>
        </w:rPr>
        <w:t>、车辆清洗装置。</w:t>
      </w:r>
    </w:p>
    <w:p w14:paraId="12B70BEF">
      <w:pPr>
        <w:pStyle w:val="6"/>
        <w:spacing w:line="360" w:lineRule="auto"/>
        <w:ind w:firstLine="482" w:firstLineChars="200"/>
        <w:rPr>
          <w:rStyle w:val="10"/>
          <w:rFonts w:ascii="仿宋" w:hAnsi="仿宋" w:eastAsia="仿宋" w:cs="仿宋"/>
          <w:b w:val="0"/>
          <w:bCs w:val="0"/>
        </w:rPr>
      </w:pPr>
      <w:r>
        <w:rPr>
          <w:rStyle w:val="10"/>
          <w:rFonts w:hint="eastAsia" w:ascii="仿宋" w:hAnsi="仿宋" w:eastAsia="仿宋" w:cs="仿宋"/>
          <w:bCs w:val="0"/>
        </w:rPr>
        <w:t>3、文明施工管理：</w:t>
      </w:r>
      <w:r>
        <w:rPr>
          <w:rStyle w:val="10"/>
          <w:rFonts w:hint="eastAsia" w:ascii="仿宋" w:hAnsi="仿宋" w:eastAsia="仿宋" w:cs="仿宋"/>
          <w:b w:val="0"/>
          <w:bCs w:val="0"/>
        </w:rPr>
        <w:t>严格执行“工完场清”制度。施工垃圾、生活垃圾必须分类收集，及时清运至指定地点，严禁焚烧。当天拆除完的垃圾和物品必须当天及时清运，如因特殊原因导致无法及时清运时需向甲方报备经得甲方同意后现场做好环保覆盖及防护等措施。</w:t>
      </w:r>
      <w:r>
        <w:rPr>
          <w:rFonts w:hint="eastAsia" w:ascii="仿宋" w:hAnsi="仿宋" w:eastAsia="仿宋" w:cs="Arial"/>
          <w:color w:val="272933"/>
          <w:shd w:val="clear" w:color="auto" w:fill="FFFFFF"/>
        </w:rPr>
        <w:t>如有施工或运输过程中有土方、垃圾等散落施工区域外需安排工人及时清扫干净。</w:t>
      </w:r>
    </w:p>
    <w:p w14:paraId="532D1DDE">
      <w:pPr>
        <w:pStyle w:val="6"/>
        <w:spacing w:line="360" w:lineRule="auto"/>
        <w:ind w:firstLine="482" w:firstLineChars="200"/>
        <w:rPr>
          <w:rStyle w:val="10"/>
          <w:rFonts w:ascii="仿宋" w:hAnsi="仿宋" w:eastAsia="仿宋" w:cs="仿宋"/>
          <w:b w:val="0"/>
          <w:bCs w:val="0"/>
        </w:rPr>
      </w:pPr>
      <w:r>
        <w:rPr>
          <w:rStyle w:val="10"/>
          <w:rFonts w:hint="eastAsia" w:ascii="仿宋" w:hAnsi="仿宋" w:eastAsia="仿宋" w:cs="仿宋"/>
          <w:bCs w:val="0"/>
        </w:rPr>
        <w:t>4、环境保护</w:t>
      </w:r>
      <w:r>
        <w:rPr>
          <w:rStyle w:val="10"/>
          <w:rFonts w:hint="eastAsia" w:ascii="仿宋" w:hAnsi="仿宋" w:eastAsia="仿宋" w:cs="仿宋"/>
          <w:b w:val="0"/>
          <w:bCs w:val="0"/>
        </w:rPr>
        <w:t>：所有机械、车辆进出场都必须</w:t>
      </w:r>
      <w:r>
        <w:rPr>
          <w:rFonts w:ascii="仿宋" w:hAnsi="仿宋" w:eastAsia="仿宋" w:cs="Arial"/>
          <w:color w:val="272933"/>
          <w:shd w:val="clear" w:color="auto" w:fill="FFFFFF"/>
        </w:rPr>
        <w:t>冲洗干净</w:t>
      </w:r>
      <w:r>
        <w:rPr>
          <w:rFonts w:hint="eastAsia" w:ascii="仿宋" w:hAnsi="仿宋" w:eastAsia="仿宋" w:cs="Arial"/>
          <w:color w:val="272933"/>
          <w:shd w:val="clear" w:color="auto" w:fill="FFFFFF"/>
        </w:rPr>
        <w:t>，无泥土带出工地，防止道路污染</w:t>
      </w:r>
      <w:r>
        <w:rPr>
          <w:rStyle w:val="10"/>
          <w:rFonts w:hint="eastAsia" w:ascii="仿宋" w:hAnsi="仿宋" w:eastAsia="仿宋" w:cs="仿宋"/>
          <w:b w:val="0"/>
          <w:bCs w:val="0"/>
        </w:rPr>
        <w:t>。施工噪音控制严格执行《建筑施工场界环境噪声排放标准》GB12523，合理安排作业时间，避免夜间（22:00-6:00）高噪音作业，确需施工需办理许可并公告。</w:t>
      </w:r>
    </w:p>
    <w:p w14:paraId="15AA3B3F">
      <w:pPr>
        <w:pStyle w:val="6"/>
        <w:spacing w:line="360" w:lineRule="auto"/>
        <w:ind w:firstLine="482" w:firstLineChars="200"/>
        <w:rPr>
          <w:rStyle w:val="10"/>
          <w:rFonts w:ascii="仿宋" w:hAnsi="仿宋" w:eastAsia="仿宋" w:cs="仿宋"/>
          <w:b w:val="0"/>
          <w:bCs w:val="0"/>
        </w:rPr>
      </w:pPr>
      <w:r>
        <w:rPr>
          <w:rStyle w:val="10"/>
          <w:rFonts w:hint="eastAsia" w:ascii="仿宋" w:hAnsi="仿宋" w:eastAsia="仿宋" w:cs="仿宋"/>
          <w:bCs w:val="0"/>
        </w:rPr>
        <w:t>5、消防管理：</w:t>
      </w:r>
      <w:r>
        <w:rPr>
          <w:rStyle w:val="10"/>
          <w:rFonts w:hint="eastAsia" w:ascii="仿宋" w:hAnsi="仿宋" w:eastAsia="仿宋" w:cs="仿宋"/>
          <w:b w:val="0"/>
          <w:bCs w:val="0"/>
        </w:rPr>
        <w:t>动火作业办理动火证，配备看火人和灭火器材。消防通道畅通，消防器材定期检查维护。</w:t>
      </w:r>
    </w:p>
    <w:p w14:paraId="75EE0FF6">
      <w:pPr>
        <w:pStyle w:val="6"/>
        <w:spacing w:before="0" w:beforeAutospacing="0" w:after="0" w:afterAutospacing="0" w:line="360" w:lineRule="auto"/>
        <w:ind w:firstLine="482" w:firstLineChars="200"/>
        <w:rPr>
          <w:rStyle w:val="10"/>
          <w:rFonts w:hint="eastAsia" w:ascii="仿宋" w:hAnsi="仿宋" w:eastAsia="仿宋" w:cs="仿宋"/>
          <w:b w:val="0"/>
          <w:bCs w:val="0"/>
          <w:color w:val="FF0000"/>
        </w:rPr>
      </w:pPr>
      <w:r>
        <w:rPr>
          <w:rStyle w:val="10"/>
          <w:rFonts w:hint="eastAsia" w:ascii="仿宋" w:hAnsi="仿宋" w:eastAsia="仿宋" w:cs="仿宋"/>
          <w:bCs w:val="0"/>
        </w:rPr>
        <w:t>6、形象管理：</w:t>
      </w:r>
      <w:r>
        <w:rPr>
          <w:rStyle w:val="10"/>
          <w:rFonts w:hint="eastAsia" w:ascii="仿宋" w:hAnsi="仿宋" w:eastAsia="仿宋" w:cs="仿宋"/>
          <w:b w:val="0"/>
          <w:bCs w:val="0"/>
        </w:rPr>
        <w:t>机械</w:t>
      </w:r>
      <w:r>
        <w:rPr>
          <w:rFonts w:ascii="仿宋" w:hAnsi="仿宋" w:eastAsia="仿宋" w:cs="Arial"/>
          <w:color w:val="333333"/>
          <w:shd w:val="clear" w:color="auto" w:fill="FFFFFF"/>
        </w:rPr>
        <w:t>设备应张贴必要的安全警示标识</w:t>
      </w:r>
      <w:r>
        <w:rPr>
          <w:rStyle w:val="10"/>
          <w:rFonts w:hint="eastAsia" w:ascii="仿宋" w:hAnsi="仿宋" w:eastAsia="仿宋" w:cs="仿宋"/>
          <w:b w:val="0"/>
          <w:bCs w:val="0"/>
        </w:rPr>
        <w:t>，人员着装统一（反光衣），佩戴安全帽。</w:t>
      </w:r>
      <w:r>
        <w:rPr>
          <w:rStyle w:val="10"/>
          <w:rFonts w:hint="eastAsia" w:ascii="仿宋" w:hAnsi="仿宋" w:eastAsia="仿宋" w:cs="仿宋"/>
          <w:b w:val="0"/>
          <w:bCs w:val="0"/>
          <w:color w:val="FF0000"/>
        </w:rPr>
        <w:t>（安全帽、反光衣统一由甲方进行提供，最终合同结算时按实进行扣除此项费用）</w:t>
      </w:r>
    </w:p>
    <w:p w14:paraId="1BFFDE4C">
      <w:pPr>
        <w:pStyle w:val="6"/>
        <w:spacing w:before="0" w:beforeAutospacing="0" w:after="0" w:afterAutospacing="0" w:line="360" w:lineRule="auto"/>
        <w:ind w:firstLine="482" w:firstLineChars="200"/>
        <w:rPr>
          <w:rStyle w:val="10"/>
          <w:rFonts w:ascii="仿宋" w:hAnsi="仿宋" w:eastAsia="仿宋" w:cs="仿宋"/>
          <w:b w:val="0"/>
          <w:bCs w:val="0"/>
        </w:rPr>
      </w:pPr>
      <w:r>
        <w:rPr>
          <w:rStyle w:val="10"/>
          <w:rFonts w:hint="eastAsia" w:ascii="仿宋" w:hAnsi="仿宋" w:eastAsia="仿宋" w:cs="仿宋"/>
          <w:bCs w:val="0"/>
        </w:rPr>
        <w:t>7、工人实名制打卡管理：</w:t>
      </w:r>
      <w:r>
        <w:rPr>
          <w:rStyle w:val="10"/>
          <w:rFonts w:hint="eastAsia" w:ascii="仿宋" w:hAnsi="仿宋" w:eastAsia="仿宋" w:cs="仿宋"/>
          <w:b w:val="0"/>
          <w:bCs w:val="0"/>
        </w:rPr>
        <w:t>进场前组织所有工人配合参加工人实名制打卡和工资发放相关交底培训</w:t>
      </w:r>
      <w:r>
        <w:rPr>
          <w:rFonts w:hint="eastAsia" w:ascii="仿宋" w:hAnsi="仿宋" w:eastAsia="仿宋" w:cs="仿宋"/>
          <w:b/>
        </w:rPr>
        <w:t>，</w:t>
      </w:r>
      <w:r>
        <w:rPr>
          <w:rFonts w:hint="eastAsia" w:ascii="仿宋" w:hAnsi="仿宋" w:eastAsia="仿宋" w:cs="仿宋"/>
        </w:rPr>
        <w:t>期间配合甲方对所有工人进行信息采集、考勤监督、月度工资核算等管理要求，定期对班组工人进行重复交底以确保无漏打卡、错打卡等情况。过程中如有工人未100%有效打卡，按 100元/人/天处罚乙方。</w:t>
      </w:r>
    </w:p>
    <w:p w14:paraId="79510D70">
      <w:pPr>
        <w:pStyle w:val="2"/>
        <w:widowControl/>
        <w:spacing w:beforeAutospacing="0" w:line="360" w:lineRule="auto"/>
        <w:rPr>
          <w:rStyle w:val="10"/>
          <w:rFonts w:hint="default" w:ascii="仿宋" w:hAnsi="仿宋" w:eastAsia="仿宋" w:cs="仿宋"/>
          <w:b/>
          <w:bCs/>
          <w:sz w:val="28"/>
          <w:szCs w:val="28"/>
        </w:rPr>
      </w:pPr>
      <w:r>
        <w:rPr>
          <w:rStyle w:val="10"/>
          <w:rFonts w:ascii="仿宋" w:hAnsi="仿宋" w:eastAsia="仿宋" w:cs="仿宋"/>
          <w:b/>
          <w:bCs/>
          <w:sz w:val="28"/>
          <w:szCs w:val="28"/>
        </w:rPr>
        <w:t>五、施工配合要求</w:t>
      </w:r>
    </w:p>
    <w:p w14:paraId="7680BBBF">
      <w:pPr>
        <w:pStyle w:val="6"/>
        <w:spacing w:before="0" w:beforeAutospacing="0" w:after="0" w:afterAutospacing="0" w:line="360" w:lineRule="auto"/>
        <w:ind w:firstLine="480" w:firstLineChars="200"/>
        <w:rPr>
          <w:rFonts w:ascii="仿宋" w:hAnsi="仿宋" w:eastAsia="仿宋"/>
        </w:rPr>
      </w:pPr>
      <w:r>
        <w:rPr>
          <w:rStyle w:val="10"/>
          <w:rFonts w:hint="eastAsia" w:ascii="仿宋" w:hAnsi="仿宋" w:eastAsia="仿宋" w:cs="仿宋"/>
          <w:b w:val="0"/>
        </w:rPr>
        <w:t>1、</w:t>
      </w:r>
      <w:r>
        <w:rPr>
          <w:rFonts w:hint="eastAsia" w:ascii="仿宋" w:hAnsi="仿宋" w:eastAsia="仿宋"/>
        </w:rPr>
        <w:t>视现场实际情况需求，乙方无条件配合项目相关一切要求，根据工程实际需要，</w:t>
      </w:r>
      <w:r>
        <w:rPr>
          <w:rFonts w:hint="eastAsia" w:ascii="仿宋" w:hAnsi="仿宋" w:eastAsia="仿宋"/>
          <w:color w:val="FF0000"/>
        </w:rPr>
        <w:t>包括但不限于赶工、工序调整且不予费用调整增加（甲方正式签发的签证、变更除外）。</w:t>
      </w:r>
      <w:r>
        <w:rPr>
          <w:rFonts w:hint="eastAsia" w:ascii="仿宋" w:hAnsi="仿宋" w:eastAsia="仿宋"/>
        </w:rPr>
        <w:t>甲方有权要求乙方增加人员、设备投入或进行夜间、节假日加班。乙方须在接到甲方书面（或有效指令）通知后24小时内响应并落实。</w:t>
      </w:r>
    </w:p>
    <w:p w14:paraId="63A62EEF">
      <w:pPr>
        <w:pStyle w:val="6"/>
        <w:spacing w:before="0" w:beforeAutospacing="0" w:after="0" w:afterAutospacing="0" w:line="360" w:lineRule="auto"/>
        <w:ind w:firstLine="480" w:firstLineChars="200"/>
        <w:rPr>
          <w:rFonts w:hint="eastAsia" w:ascii="仿宋" w:hAnsi="仿宋" w:eastAsia="仿宋"/>
        </w:rPr>
      </w:pPr>
      <w:r>
        <w:rPr>
          <w:rFonts w:hint="eastAsia" w:ascii="仿宋" w:hAnsi="仿宋" w:eastAsia="仿宋"/>
        </w:rPr>
        <w:t>2、乙方必须确保投入足够的资源，以满足合同要求和甲方进度指令。</w:t>
      </w:r>
    </w:p>
    <w:p w14:paraId="6EF68802">
      <w:pPr>
        <w:pStyle w:val="6"/>
        <w:spacing w:before="0" w:beforeAutospacing="0" w:after="0" w:afterAutospacing="0" w:line="360" w:lineRule="auto"/>
        <w:ind w:firstLine="480" w:firstLineChars="200"/>
        <w:rPr>
          <w:rFonts w:ascii="仿宋" w:hAnsi="仿宋" w:eastAsia="仿宋"/>
        </w:rPr>
      </w:pPr>
      <w:r>
        <w:rPr>
          <w:rFonts w:hint="eastAsia" w:ascii="仿宋" w:hAnsi="仿宋" w:eastAsia="仿宋"/>
        </w:rPr>
        <w:t>3、如乙方在甲方要求的时限内（书面通知明确）无法满足现场实际进度、质量或安全需求，甲方有权委托第三方进场完成该项工作，由此产生的一切费用（包括但不限于第三方费用、管理费、延误损失等）均由乙方承担，甲方有权直接从乙方工程款中扣除。</w:t>
      </w:r>
    </w:p>
    <w:p w14:paraId="56D0D473">
      <w:pPr>
        <w:pStyle w:val="6"/>
        <w:spacing w:line="360" w:lineRule="auto"/>
        <w:ind w:firstLine="480" w:firstLineChars="200"/>
        <w:rPr>
          <w:rFonts w:ascii="仿宋" w:hAnsi="仿宋" w:eastAsia="仿宋"/>
        </w:rPr>
      </w:pPr>
      <w:r>
        <w:rPr>
          <w:rFonts w:hint="eastAsia" w:ascii="仿宋" w:hAnsi="仿宋" w:eastAsia="仿宋"/>
        </w:rPr>
        <w:t>4、所有机械设备必须购买有效的交强险和商业保险（特别是第三者责任险），人员必须购买团体意外险，保险额度需满足工程要求和地方规定。</w:t>
      </w:r>
    </w:p>
    <w:p w14:paraId="25EFCAF0">
      <w:pPr>
        <w:pStyle w:val="6"/>
        <w:spacing w:line="360" w:lineRule="auto"/>
        <w:ind w:firstLine="480" w:firstLineChars="200"/>
        <w:rPr>
          <w:rFonts w:ascii="仿宋" w:hAnsi="仿宋" w:eastAsia="仿宋"/>
        </w:rPr>
      </w:pPr>
      <w:r>
        <w:rPr>
          <w:rFonts w:hint="eastAsia" w:ascii="仿宋" w:hAnsi="仿宋" w:eastAsia="仿宋"/>
        </w:rPr>
        <w:t>5、合同范围施工过程所产生的水电费用（如有）按实进行扣除。</w:t>
      </w:r>
    </w:p>
    <w:p w14:paraId="23ABE269">
      <w:pPr>
        <w:pStyle w:val="6"/>
        <w:spacing w:line="360" w:lineRule="auto"/>
        <w:ind w:firstLine="480" w:firstLineChars="200"/>
        <w:rPr>
          <w:rFonts w:ascii="仿宋" w:hAnsi="仿宋" w:eastAsia="仿宋"/>
        </w:rPr>
      </w:pPr>
      <w:r>
        <w:rPr>
          <w:rFonts w:hint="eastAsia" w:ascii="仿宋" w:hAnsi="仿宋" w:eastAsia="仿宋"/>
        </w:rPr>
        <w:t>6、本项目受场地因素限制不向乙方提供工人生活区、办公区，由乙方自行解决。</w:t>
      </w:r>
    </w:p>
    <w:bookmarkEnd w:id="0"/>
    <w:bookmarkEnd w:id="1"/>
    <w:p w14:paraId="100A9ED5">
      <w:pPr>
        <w:pStyle w:val="6"/>
        <w:spacing w:before="0" w:beforeAutospacing="0" w:after="0" w:afterAutospacing="0" w:line="360" w:lineRule="auto"/>
        <w:ind w:firstLine="480" w:firstLineChars="200"/>
        <w:rPr>
          <w:rFonts w:ascii="仿宋" w:hAnsi="仿宋" w:eastAsia="仿宋"/>
        </w:rPr>
      </w:pPr>
    </w:p>
    <w:p w14:paraId="166F19E2">
      <w:pPr>
        <w:pStyle w:val="6"/>
        <w:spacing w:before="0" w:beforeAutospacing="0" w:after="0" w:afterAutospacing="0" w:line="360" w:lineRule="auto"/>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56C50"/>
    <w:multiLevelType w:val="multilevel"/>
    <w:tmpl w:val="13E56C5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3CC505A1"/>
    <w:multiLevelType w:val="multilevel"/>
    <w:tmpl w:val="3CC505A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3E200B5E"/>
    <w:multiLevelType w:val="multilevel"/>
    <w:tmpl w:val="3E200B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5B"/>
    <w:rsid w:val="000064C5"/>
    <w:rsid w:val="000264FE"/>
    <w:rsid w:val="000323AB"/>
    <w:rsid w:val="000722DB"/>
    <w:rsid w:val="00124AF1"/>
    <w:rsid w:val="0012534E"/>
    <w:rsid w:val="00136D61"/>
    <w:rsid w:val="00185134"/>
    <w:rsid w:val="00191122"/>
    <w:rsid w:val="001B0CF8"/>
    <w:rsid w:val="001F2A1C"/>
    <w:rsid w:val="00216324"/>
    <w:rsid w:val="00235C18"/>
    <w:rsid w:val="002425CE"/>
    <w:rsid w:val="002D10A6"/>
    <w:rsid w:val="00352A0A"/>
    <w:rsid w:val="0037692F"/>
    <w:rsid w:val="003B6F40"/>
    <w:rsid w:val="003E4701"/>
    <w:rsid w:val="0046074E"/>
    <w:rsid w:val="004B4B28"/>
    <w:rsid w:val="004C5E17"/>
    <w:rsid w:val="004F170C"/>
    <w:rsid w:val="005B5964"/>
    <w:rsid w:val="0062192F"/>
    <w:rsid w:val="006B6E0A"/>
    <w:rsid w:val="006C762D"/>
    <w:rsid w:val="006D4FB8"/>
    <w:rsid w:val="00717FDD"/>
    <w:rsid w:val="007E7F97"/>
    <w:rsid w:val="0082146A"/>
    <w:rsid w:val="00827F4B"/>
    <w:rsid w:val="00852BD2"/>
    <w:rsid w:val="0085450D"/>
    <w:rsid w:val="008D2FC5"/>
    <w:rsid w:val="00912145"/>
    <w:rsid w:val="00920412"/>
    <w:rsid w:val="009D2AC5"/>
    <w:rsid w:val="00A31730"/>
    <w:rsid w:val="00A54748"/>
    <w:rsid w:val="00A7697F"/>
    <w:rsid w:val="00AA4DEF"/>
    <w:rsid w:val="00AA7C5B"/>
    <w:rsid w:val="00AC3F9D"/>
    <w:rsid w:val="00AF0B17"/>
    <w:rsid w:val="00B02FD5"/>
    <w:rsid w:val="00B0440A"/>
    <w:rsid w:val="00B87DF7"/>
    <w:rsid w:val="00BB52D1"/>
    <w:rsid w:val="00C136B6"/>
    <w:rsid w:val="00C15281"/>
    <w:rsid w:val="00C52062"/>
    <w:rsid w:val="00CB1153"/>
    <w:rsid w:val="00CE60E4"/>
    <w:rsid w:val="00D13746"/>
    <w:rsid w:val="00D3242E"/>
    <w:rsid w:val="00D41D5B"/>
    <w:rsid w:val="00DF04C7"/>
    <w:rsid w:val="00DF1C21"/>
    <w:rsid w:val="00E1166C"/>
    <w:rsid w:val="00E67EAE"/>
    <w:rsid w:val="00E862C5"/>
    <w:rsid w:val="00E95C77"/>
    <w:rsid w:val="00EC4B0F"/>
    <w:rsid w:val="00F402FA"/>
    <w:rsid w:val="00F51507"/>
    <w:rsid w:val="00F612A9"/>
    <w:rsid w:val="00F77B37"/>
    <w:rsid w:val="00FD4393"/>
    <w:rsid w:val="08FC6112"/>
    <w:rsid w:val="0C290216"/>
    <w:rsid w:val="0DF239EF"/>
    <w:rsid w:val="14A22215"/>
    <w:rsid w:val="28743726"/>
    <w:rsid w:val="2BB84E02"/>
    <w:rsid w:val="2EA20D1C"/>
    <w:rsid w:val="3E75078E"/>
    <w:rsid w:val="44A30E83"/>
    <w:rsid w:val="454750F0"/>
    <w:rsid w:val="461A50E0"/>
    <w:rsid w:val="493D36C2"/>
    <w:rsid w:val="63D76E38"/>
    <w:rsid w:val="73432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3"/>
    <w:basedOn w:val="1"/>
    <w:next w:val="1"/>
    <w:link w:val="13"/>
    <w:semiHidden/>
    <w:unhideWhenUsed/>
    <w:qFormat/>
    <w:uiPriority w:val="9"/>
    <w:pPr>
      <w:keepNext/>
      <w:keepLines/>
      <w:spacing w:before="260" w:after="260" w:line="416" w:lineRule="auto"/>
      <w:outlineLvl w:val="2"/>
    </w:pPr>
    <w:rPr>
      <w:b/>
      <w:bCs/>
      <w:sz w:val="32"/>
      <w:szCs w:val="32"/>
    </w:rPr>
  </w:style>
  <w:style w:type="paragraph" w:styleId="4">
    <w:name w:val="heading 4"/>
    <w:basedOn w:val="1"/>
    <w:link w:val="12"/>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4"/>
    <w:semiHidden/>
    <w:unhideWhenUsed/>
    <w:qFormat/>
    <w:uiPriority w:val="99"/>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paragraph" w:styleId="11">
    <w:name w:val="List Paragraph"/>
    <w:basedOn w:val="1"/>
    <w:qFormat/>
    <w:uiPriority w:val="34"/>
    <w:pPr>
      <w:ind w:firstLine="420" w:firstLineChars="200"/>
    </w:pPr>
  </w:style>
  <w:style w:type="character" w:customStyle="1" w:styleId="12">
    <w:name w:val="标题 4 Char"/>
    <w:basedOn w:val="9"/>
    <w:link w:val="4"/>
    <w:qFormat/>
    <w:uiPriority w:val="9"/>
    <w:rPr>
      <w:rFonts w:ascii="宋体" w:hAnsi="宋体" w:eastAsia="宋体" w:cs="宋体"/>
      <w:b/>
      <w:bCs/>
      <w:kern w:val="0"/>
      <w:sz w:val="24"/>
      <w:szCs w:val="24"/>
    </w:rPr>
  </w:style>
  <w:style w:type="character" w:customStyle="1" w:styleId="13">
    <w:name w:val="标题 3 Char"/>
    <w:basedOn w:val="9"/>
    <w:link w:val="3"/>
    <w:semiHidden/>
    <w:qFormat/>
    <w:uiPriority w:val="9"/>
    <w:rPr>
      <w:b/>
      <w:bCs/>
      <w:sz w:val="32"/>
      <w:szCs w:val="32"/>
    </w:rPr>
  </w:style>
  <w:style w:type="character" w:customStyle="1" w:styleId="14">
    <w:name w:val="批注框文本 Char"/>
    <w:basedOn w:val="9"/>
    <w:link w:val="5"/>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A1E39E0-B4D2-4494-9BDE-0B261D8ACA30}">
  <ds:schemaRefs/>
</ds:datastoreItem>
</file>

<file path=docProps/app.xml><?xml version="1.0" encoding="utf-8"?>
<Properties xmlns="http://schemas.openxmlformats.org/officeDocument/2006/extended-properties" xmlns:vt="http://schemas.openxmlformats.org/officeDocument/2006/docPropsVTypes">
  <Template>Normal</Template>
  <Pages>4</Pages>
  <Words>2568</Words>
  <Characters>2664</Characters>
  <Lines>20</Lines>
  <Paragraphs>5</Paragraphs>
  <TotalTime>0</TotalTime>
  <ScaleCrop>false</ScaleCrop>
  <LinksUpToDate>false</LinksUpToDate>
  <CharactersWithSpaces>2677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2025-06-17T07:22:00Z</dcterms:created>
  <dc:creator>admin</dc:creator>
  <cp:lastModifiedBy>Lenovo</cp:lastModifiedBy>
  <cp:lastPrinted>2025-06-25T06:50:00Z</cp:lastPrinted>
  <dcterms:modified xsi:type="dcterms:W3CDTF">2025-09-07T07:15:16Z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eyJoZGlkIjoiYmRhODFmNzRmN2ZlNjc1OGE0YWUxNWEzMmNlMTZlZGUiLCJ1c2VySWQiOiIzNDgwMDA2NDgifQ==</vt:lpwstr>
  </property>
  <property fmtid="{D5CDD505-2E9C-101B-9397-08002B2CF9AE}" pid="3" name="KSOProductBuildVer">
    <vt:lpwstr>2052-12.1.0.22529</vt:lpwstr>
  </property>
  <property fmtid="{D5CDD505-2E9C-101B-9397-08002B2CF9AE}" pid="4" name="ICV">
    <vt:lpwstr>8367BC67ED624A2F850087B2C8490984_12</vt:lpwstr>
  </property>
</Properties>
</file>