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51531">
      <w:pPr>
        <w:pStyle w:val="6"/>
      </w:pPr>
    </w:p>
    <w:p w14:paraId="691AE3DF">
      <w:pPr>
        <w:jc w:val="center"/>
        <w:rPr>
          <w:rFonts w:hint="eastAsia" w:ascii="仿宋_GB2312" w:hAnsi="仿宋_GB2312" w:eastAsia="仿宋_GB2312" w:cs="仿宋_GB2312"/>
          <w:sz w:val="52"/>
          <w:szCs w:val="52"/>
        </w:rPr>
      </w:pPr>
    </w:p>
    <w:p w14:paraId="47A4D181">
      <w:pPr>
        <w:spacing w:line="360" w:lineRule="auto"/>
        <w:jc w:val="center"/>
        <w:rPr>
          <w:rFonts w:hint="eastAsia" w:ascii="宋体" w:hAnsi="宋体" w:cs="宋体"/>
          <w:b/>
          <w:bCs/>
          <w:sz w:val="84"/>
        </w:rPr>
      </w:pPr>
      <w:r>
        <w:rPr>
          <w:rFonts w:hint="eastAsia" w:ascii="宋体" w:hAnsi="宋体" w:cs="宋体"/>
          <w:sz w:val="84"/>
        </w:rPr>
        <w:t>询  价  文  件</w:t>
      </w:r>
    </w:p>
    <w:p w14:paraId="1906267F">
      <w:pPr>
        <w:rPr>
          <w:rFonts w:hint="eastAsia" w:ascii="仿宋_GB2312" w:hAnsi="仿宋_GB2312" w:eastAsia="仿宋_GB2312" w:cs="仿宋_GB2312"/>
          <w:sz w:val="52"/>
          <w:szCs w:val="52"/>
        </w:rPr>
      </w:pPr>
    </w:p>
    <w:p w14:paraId="1BFF8771">
      <w:pPr>
        <w:jc w:val="center"/>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城工集团2026年度电力交易项目</w:t>
      </w:r>
    </w:p>
    <w:p w14:paraId="34FBC175">
      <w:pPr>
        <w:jc w:val="center"/>
        <w:rPr>
          <w:rFonts w:hint="eastAsia" w:ascii="楷体_GB2312" w:hAnsi="楷体_GB2312" w:eastAsia="楷体_GB2312" w:cs="楷体_GB2312"/>
          <w:bCs/>
          <w:sz w:val="32"/>
          <w:szCs w:val="32"/>
        </w:rPr>
      </w:pPr>
    </w:p>
    <w:p w14:paraId="39398351">
      <w:pPr>
        <w:jc w:val="center"/>
        <w:rPr>
          <w:rFonts w:hint="eastAsia" w:ascii="仿宋_GB2312" w:hAnsi="仿宋_GB2312" w:eastAsia="仿宋_GB2312" w:cs="仿宋_GB2312"/>
          <w:bCs/>
          <w:sz w:val="32"/>
          <w:u w:val="single"/>
        </w:rPr>
      </w:pPr>
      <w:r>
        <w:rPr>
          <w:rFonts w:hint="eastAsia" w:ascii="仿宋_GB2312" w:hAnsi="仿宋_GB2312" w:eastAsia="仿宋_GB2312" w:cs="仿宋_GB2312"/>
          <w:bCs/>
          <w:sz w:val="32"/>
        </w:rPr>
        <w:t>项目编号：</w:t>
      </w:r>
      <w:r>
        <w:rPr>
          <w:rFonts w:hint="eastAsia" w:ascii="仿宋_GB2312" w:hAnsi="仿宋_GB2312" w:eastAsia="仿宋_GB2312" w:cs="仿宋_GB2312"/>
          <w:bCs/>
          <w:sz w:val="32"/>
          <w:u w:val="single"/>
        </w:rPr>
        <w:t xml:space="preserve"> ZBCG-2025-224</w:t>
      </w:r>
    </w:p>
    <w:p w14:paraId="6E6F7DC9">
      <w:pPr>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 xml:space="preserve"> </w:t>
      </w:r>
    </w:p>
    <w:p w14:paraId="46396D2C">
      <w:pPr>
        <w:spacing w:line="360" w:lineRule="auto"/>
        <w:jc w:val="center"/>
        <w:rPr>
          <w:rFonts w:hint="eastAsia" w:ascii="仿宋_GB2312" w:hAnsi="仿宋_GB2312" w:eastAsia="仿宋_GB2312" w:cs="仿宋_GB2312"/>
        </w:rPr>
      </w:pPr>
    </w:p>
    <w:p w14:paraId="241E1338">
      <w:pPr>
        <w:spacing w:line="360" w:lineRule="auto"/>
        <w:jc w:val="center"/>
        <w:rPr>
          <w:rFonts w:hint="eastAsia" w:ascii="仿宋_GB2312" w:hAnsi="仿宋_GB2312" w:eastAsia="仿宋_GB2312" w:cs="仿宋_GB2312"/>
        </w:rPr>
      </w:pPr>
    </w:p>
    <w:p w14:paraId="30D403D7">
      <w:pPr>
        <w:spacing w:line="360" w:lineRule="auto"/>
        <w:jc w:val="center"/>
        <w:rPr>
          <w:rFonts w:hint="eastAsia" w:ascii="仿宋_GB2312" w:hAnsi="仿宋_GB2312" w:eastAsia="仿宋_GB2312" w:cs="仿宋_GB2312"/>
        </w:rPr>
      </w:pPr>
    </w:p>
    <w:p w14:paraId="50A4274C">
      <w:pPr>
        <w:spacing w:line="360" w:lineRule="auto"/>
        <w:rPr>
          <w:rFonts w:hint="eastAsia" w:ascii="仿宋_GB2312" w:hAnsi="仿宋_GB2312" w:eastAsia="仿宋_GB2312" w:cs="仿宋_GB2312"/>
          <w:bCs/>
          <w:sz w:val="32"/>
        </w:rPr>
      </w:pPr>
    </w:p>
    <w:p w14:paraId="4484606E">
      <w:pPr>
        <w:spacing w:line="360" w:lineRule="auto"/>
        <w:rPr>
          <w:rFonts w:hint="eastAsia" w:ascii="仿宋_GB2312" w:hAnsi="仿宋_GB2312" w:eastAsia="仿宋_GB2312" w:cs="仿宋_GB2312"/>
          <w:bCs/>
          <w:sz w:val="32"/>
        </w:rPr>
      </w:pPr>
    </w:p>
    <w:p w14:paraId="2574434A">
      <w:pPr>
        <w:spacing w:line="360" w:lineRule="auto"/>
        <w:rPr>
          <w:rFonts w:hint="eastAsia" w:ascii="仿宋_GB2312" w:hAnsi="仿宋_GB2312" w:eastAsia="仿宋_GB2312" w:cs="仿宋_GB2312"/>
          <w:bCs/>
          <w:sz w:val="32"/>
        </w:rPr>
      </w:pPr>
    </w:p>
    <w:p w14:paraId="784633DD">
      <w:pPr>
        <w:spacing w:line="360" w:lineRule="auto"/>
        <w:rPr>
          <w:rFonts w:hint="eastAsia" w:ascii="仿宋_GB2312" w:hAnsi="仿宋_GB2312" w:eastAsia="仿宋_GB2312" w:cs="仿宋_GB2312"/>
          <w:bCs/>
          <w:sz w:val="32"/>
        </w:rPr>
      </w:pPr>
    </w:p>
    <w:p w14:paraId="38409827">
      <w:pPr>
        <w:spacing w:line="360" w:lineRule="auto"/>
        <w:rPr>
          <w:rFonts w:hint="eastAsia" w:ascii="仿宋_GB2312" w:hAnsi="仿宋_GB2312" w:eastAsia="仿宋_GB2312" w:cs="仿宋_GB2312"/>
          <w:bCs/>
          <w:sz w:val="32"/>
        </w:rPr>
      </w:pPr>
    </w:p>
    <w:p w14:paraId="2119D52E">
      <w:pPr>
        <w:spacing w:line="360" w:lineRule="auto"/>
        <w:rPr>
          <w:rFonts w:hint="eastAsia" w:ascii="仿宋_GB2312" w:hAnsi="仿宋_GB2312" w:eastAsia="仿宋_GB2312" w:cs="仿宋_GB2312"/>
          <w:bCs/>
          <w:sz w:val="32"/>
        </w:rPr>
      </w:pPr>
    </w:p>
    <w:p w14:paraId="77140459">
      <w:pPr>
        <w:spacing w:line="360" w:lineRule="auto"/>
        <w:jc w:val="center"/>
        <w:rPr>
          <w:rFonts w:hint="eastAsia" w:ascii="仿宋_GB2312" w:hAnsi="仿宋_GB2312" w:eastAsia="仿宋_GB2312" w:cs="仿宋_GB2312"/>
          <w:bCs/>
          <w:sz w:val="32"/>
        </w:rPr>
      </w:pPr>
      <w:r>
        <w:rPr>
          <w:rFonts w:hint="eastAsia" w:ascii="仿宋_GB2312" w:hAnsi="仿宋_GB2312" w:eastAsia="仿宋_GB2312" w:cs="仿宋_GB2312"/>
          <w:bCs/>
          <w:sz w:val="32"/>
        </w:rPr>
        <w:t>东莞市城市工程建设集团有限公司</w:t>
      </w:r>
    </w:p>
    <w:p w14:paraId="55F7C4D7">
      <w:pPr>
        <w:spacing w:line="360" w:lineRule="auto"/>
        <w:ind w:left="538"/>
        <w:jc w:val="center"/>
        <w:rPr>
          <w:rFonts w:hint="eastAsia" w:ascii="仿宋_GB2312" w:hAnsi="仿宋_GB2312" w:eastAsia="仿宋_GB2312" w:cs="仿宋_GB2312"/>
          <w:b/>
          <w:bCs/>
          <w:sz w:val="32"/>
        </w:rPr>
      </w:pPr>
      <w:r>
        <w:rPr>
          <w:rFonts w:hint="eastAsia" w:ascii="仿宋_GB2312" w:hAnsi="仿宋_GB2312" w:eastAsia="仿宋_GB2312" w:cs="仿宋_GB2312"/>
          <w:bCs/>
          <w:sz w:val="32"/>
        </w:rPr>
        <w:t>2025年10月</w:t>
      </w:r>
    </w:p>
    <w:p w14:paraId="1D474559">
      <w:pPr>
        <w:jc w:val="center"/>
        <w:rPr>
          <w:rFonts w:hint="eastAsia" w:ascii="仿宋_GB2312" w:hAnsi="仿宋_GB2312" w:eastAsia="仿宋_GB2312" w:cs="仿宋_GB2312"/>
          <w:b/>
          <w:bCs/>
          <w:sz w:val="32"/>
        </w:rPr>
        <w:sectPr>
          <w:footerReference r:id="rId3" w:type="default"/>
          <w:pgSz w:w="11906" w:h="16838"/>
          <w:pgMar w:top="1134" w:right="1418" w:bottom="1134" w:left="1418" w:header="851" w:footer="992" w:gutter="0"/>
          <w:cols w:space="720" w:num="1"/>
          <w:docGrid w:type="lines" w:linePitch="312" w:charSpace="0"/>
        </w:sectPr>
      </w:pPr>
    </w:p>
    <w:p w14:paraId="523C279F">
      <w:pPr>
        <w:adjustRightInd w:val="0"/>
        <w:snapToGrid w:val="0"/>
        <w:spacing w:before="120" w:after="120" w:line="276" w:lineRule="auto"/>
        <w:jc w:val="center"/>
        <w:rPr>
          <w:rFonts w:hint="eastAsia" w:ascii="仿宋" w:hAnsi="仿宋" w:eastAsia="仿宋" w:cs="仿宋"/>
          <w:b/>
          <w:bCs/>
          <w:sz w:val="30"/>
          <w:szCs w:val="30"/>
        </w:rPr>
      </w:pPr>
      <w:r>
        <w:rPr>
          <w:rFonts w:hint="eastAsia" w:ascii="仿宋" w:hAnsi="仿宋" w:eastAsia="仿宋" w:cs="仿宋"/>
          <w:b/>
          <w:bCs/>
          <w:sz w:val="30"/>
          <w:szCs w:val="30"/>
        </w:rPr>
        <w:t>东莞市城市工程建设集团有限公司2026年度电力交易项目采购</w:t>
      </w:r>
    </w:p>
    <w:p w14:paraId="68C8D2C1">
      <w:pPr>
        <w:pStyle w:val="23"/>
        <w:ind w:firstLine="602"/>
        <w:jc w:val="center"/>
        <w:rPr>
          <w:rFonts w:hint="eastAsia" w:ascii="仿宋" w:hAnsi="仿宋" w:eastAsia="仿宋" w:cs="仿宋"/>
          <w:b/>
          <w:bCs/>
          <w:kern w:val="2"/>
          <w:sz w:val="30"/>
          <w:szCs w:val="30"/>
        </w:rPr>
      </w:pPr>
      <w:r>
        <w:rPr>
          <w:rFonts w:hint="eastAsia" w:ascii="仿宋" w:hAnsi="仿宋" w:eastAsia="仿宋" w:cs="仿宋"/>
          <w:b/>
          <w:bCs/>
          <w:kern w:val="2"/>
          <w:sz w:val="30"/>
          <w:szCs w:val="30"/>
        </w:rPr>
        <w:t>询价文件</w:t>
      </w:r>
    </w:p>
    <w:p w14:paraId="7B4A27B4">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东莞市城市工程建设集团有限公司拟对公司2026年电力交易项目采购进行询价采购，现将相关情况介绍如下：</w:t>
      </w:r>
    </w:p>
    <w:p w14:paraId="66E20C5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一、项目名称及内容</w:t>
      </w:r>
    </w:p>
    <w:p w14:paraId="08FF56DF">
      <w:pPr>
        <w:adjustRightInd w:val="0"/>
        <w:snapToGrid w:val="0"/>
        <w:spacing w:line="600" w:lineRule="exact"/>
        <w:ind w:firstLine="480" w:firstLineChars="200"/>
        <w:rPr>
          <w:rFonts w:hint="eastAsia" w:ascii="仿宋_GB2312" w:hAnsi="仿宋_GB2312" w:eastAsia="仿宋_GB2312" w:cs="仿宋_GB2312"/>
          <w:sz w:val="24"/>
          <w:szCs w:val="24"/>
        </w:rPr>
      </w:pPr>
      <w:r>
        <w:rPr>
          <w:rFonts w:hint="eastAsia" w:ascii="仿宋" w:hAnsi="仿宋" w:eastAsia="仿宋" w:cs="仿宋"/>
          <w:sz w:val="24"/>
          <w:szCs w:val="24"/>
        </w:rPr>
        <w:t>1、项目名称：</w:t>
      </w:r>
      <w:r>
        <w:rPr>
          <w:rFonts w:hint="eastAsia" w:ascii="仿宋" w:hAnsi="仿宋" w:eastAsia="仿宋" w:cs="仿宋"/>
          <w:sz w:val="24"/>
          <w:szCs w:val="24"/>
          <w:u w:val="single"/>
        </w:rPr>
        <w:t>东莞市城市工程建设集团有限公司2026年度电力交易项目采购项目；</w:t>
      </w:r>
    </w:p>
    <w:p w14:paraId="46B45B83">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2、采购内容：采购一家售电公司，为东莞市城市工程建设集团有限公司代理参与广东电力交易中心组织的电力市场交易；</w:t>
      </w:r>
    </w:p>
    <w:p w14:paraId="10279AC4">
      <w:pPr>
        <w:adjustRightInd w:val="0"/>
        <w:snapToGrid w:val="0"/>
        <w:spacing w:line="600" w:lineRule="exact"/>
        <w:ind w:firstLine="480" w:firstLineChars="200"/>
      </w:pPr>
      <w:r>
        <w:rPr>
          <w:rFonts w:hint="eastAsia" w:ascii="仿宋" w:hAnsi="仿宋" w:eastAsia="仿宋" w:cs="仿宋"/>
          <w:sz w:val="24"/>
          <w:szCs w:val="24"/>
        </w:rPr>
        <w:t>3、项目采购预算：固定电能量价格不得低于0.372元/千瓦时，且不得高于0.428元/千瓦时，市场联动部分采用月度中长期交易综合价参与交易，固定电能量价格报价超出范围的则无效；</w:t>
      </w:r>
    </w:p>
    <w:p w14:paraId="5A69137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4、项目地点：</w:t>
      </w:r>
      <w:r>
        <w:rPr>
          <w:rFonts w:hint="eastAsia" w:ascii="仿宋" w:hAnsi="仿宋" w:eastAsia="仿宋" w:cs="仿宋"/>
          <w:sz w:val="24"/>
          <w:szCs w:val="24"/>
          <w:u w:val="single"/>
        </w:rPr>
        <w:t xml:space="preserve"> 东莞市城市工程建设集团有限公司；</w:t>
      </w:r>
    </w:p>
    <w:p w14:paraId="0C1B9F69">
      <w:pPr>
        <w:adjustRightInd w:val="0"/>
        <w:snapToGrid w:val="0"/>
        <w:spacing w:line="600" w:lineRule="exact"/>
        <w:ind w:firstLine="480" w:firstLineChars="200"/>
      </w:pPr>
      <w:r>
        <w:rPr>
          <w:rFonts w:hint="eastAsia" w:ascii="仿宋" w:hAnsi="仿宋" w:eastAsia="仿宋" w:cs="仿宋"/>
          <w:sz w:val="24"/>
          <w:szCs w:val="24"/>
        </w:rPr>
        <w:t>5、服务时间：</w:t>
      </w:r>
      <w:r>
        <w:rPr>
          <w:rFonts w:ascii="仿宋" w:hAnsi="仿宋" w:eastAsia="仿宋" w:cs="仿宋"/>
          <w:sz w:val="24"/>
          <w:szCs w:val="24"/>
          <w:u w:val="single"/>
        </w:rPr>
        <w:t>202</w:t>
      </w:r>
      <w:r>
        <w:rPr>
          <w:rFonts w:hint="eastAsia" w:ascii="仿宋" w:hAnsi="仿宋" w:eastAsia="仿宋" w:cs="仿宋"/>
          <w:sz w:val="24"/>
          <w:szCs w:val="24"/>
          <w:u w:val="single"/>
        </w:rPr>
        <w:t>6年1月1日至2</w:t>
      </w:r>
      <w:r>
        <w:rPr>
          <w:rFonts w:ascii="仿宋" w:hAnsi="仿宋" w:eastAsia="仿宋" w:cs="仿宋"/>
          <w:sz w:val="24"/>
          <w:szCs w:val="24"/>
          <w:u w:val="single"/>
        </w:rPr>
        <w:t>02</w:t>
      </w:r>
      <w:r>
        <w:rPr>
          <w:rFonts w:hint="eastAsia" w:ascii="仿宋" w:hAnsi="仿宋" w:eastAsia="仿宋" w:cs="仿宋"/>
          <w:sz w:val="24"/>
          <w:szCs w:val="24"/>
          <w:u w:val="single"/>
        </w:rPr>
        <w:t>6年12月31日；</w:t>
      </w:r>
    </w:p>
    <w:p w14:paraId="1ABF2BF4">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二、项目发布</w:t>
      </w:r>
    </w:p>
    <w:p w14:paraId="3305FAF2">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本采购项目信息在东莞市城市工程建设集团有限公司网站（http://dggcc.cn/main/）发布。</w:t>
      </w:r>
    </w:p>
    <w:p w14:paraId="0778DE73">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三、响应人资格要求</w:t>
      </w:r>
    </w:p>
    <w:p w14:paraId="42FA8EA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响应人必须是在中华人民共和国境内注册的，具有合法经营资格的国内独立法人、事业单位或者其它组织（分公司参加投标必须取得总公司唯一授权），授权书必须写明授权投标及处理投标相关事宜的权限，授权书需加盖总公司公章；【提供《营业执照》复印件（加盖公章）或《事业单位法人证书》复印件（加盖公章）或其他主体证书复印件（加盖公章）】</w:t>
      </w:r>
    </w:p>
    <w:p w14:paraId="213FBBAB">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2、未被列入城工集团及下属企业工程建设领域黑名单。【以东莞市城市工程建设集团有限公司发文为准，如有最新发文通知，按最新文件执行。】</w:t>
      </w:r>
    </w:p>
    <w:p w14:paraId="250F5388">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3、响应人（含其授权的下属单位、分支机构）参加本项目投标前三年内，在经营活动中没有重大违法记录（须提供书面声明）；</w:t>
      </w:r>
    </w:p>
    <w:p w14:paraId="58045C06">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4、本项目</w:t>
      </w:r>
      <w:r>
        <w:rPr>
          <w:rFonts w:hint="eastAsia" w:ascii="仿宋" w:hAnsi="仿宋" w:eastAsia="仿宋" w:cs="仿宋"/>
          <w:sz w:val="24"/>
          <w:szCs w:val="24"/>
          <w:lang w:val="zh-CN"/>
        </w:rPr>
        <w:t>不</w:t>
      </w:r>
      <w:r>
        <w:rPr>
          <w:rFonts w:hint="eastAsia" w:ascii="仿宋" w:hAnsi="仿宋" w:eastAsia="仿宋" w:cs="仿宋"/>
          <w:sz w:val="24"/>
          <w:szCs w:val="24"/>
        </w:rPr>
        <w:t>接受联合体投标；</w:t>
      </w:r>
    </w:p>
    <w:p w14:paraId="3A4B474B">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5、响应人必须是已通过广东电力交易中心注册且具备交易资格的售电公司（以评标当天在广东电力市场零售平台微信小程序查询结果为准）。</w:t>
      </w:r>
    </w:p>
    <w:p w14:paraId="74FADE69">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6、响应人在广东电力市场2025年信用评价结果为A级及以上。信用评价结果以广东电力交易中心有限责任公司文件《关于公布广东电力市场2025年信用评价结果的通知》（广东交易〔2025〕225号）中公布的内容为准。</w:t>
      </w:r>
    </w:p>
    <w:p w14:paraId="57335E0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[注]：1）报价人提供资格证明文件复印件并加盖公司公章，原件备查；</w:t>
      </w:r>
    </w:p>
    <w:p w14:paraId="68AA0994">
      <w:pPr>
        <w:adjustRightInd w:val="0"/>
        <w:snapToGrid w:val="0"/>
        <w:spacing w:line="60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2）报价人提供资格证明文件必须在有效期内。</w:t>
      </w:r>
    </w:p>
    <w:p w14:paraId="5E3E5BF7">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四、采购内容及要求</w:t>
      </w:r>
    </w:p>
    <w:p w14:paraId="195AED7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具体要求详见附件六用户需求书/技术规范书。响应人须仔细阅读本技术规范书，因未详细了解本采购文件及相关附件造成报价项目遗漏，由响应人自行负责。</w:t>
      </w:r>
    </w:p>
    <w:p w14:paraId="5054ED29">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五、支付方式</w:t>
      </w:r>
    </w:p>
    <w:p w14:paraId="651B0C31">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每月实际交易电量以供电企业电力计量装置采集并推送至广东电力交易中心发布的实际用电量为准，电费结算方式为月度结算。</w:t>
      </w:r>
    </w:p>
    <w:p w14:paraId="59AFACE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六、报价</w:t>
      </w:r>
    </w:p>
    <w:p w14:paraId="4388485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本项目报价，固定电能量价格不得低于0.372元/千瓦时且不得高于0.428元/千瓦时，否则按废标处理；市场联动部分采用月度中长期交易综合价参与交易，无需投标单位报价。</w:t>
      </w:r>
    </w:p>
    <w:p w14:paraId="5E4B530B">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七、定标</w:t>
      </w:r>
    </w:p>
    <w:p w14:paraId="0ABDC45C">
      <w:pPr>
        <w:spacing w:line="60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本次项目采用询价方式进行采购，询价小组对各供应商响应文件进行审核，并根据质量和服务均能满足采购文件实质性响应要求且报价最低的原则，推荐成交候选供应商。</w:t>
      </w:r>
      <w:r>
        <w:rPr>
          <w:rFonts w:hint="eastAsia" w:ascii="仿宋" w:hAnsi="仿宋" w:eastAsia="仿宋" w:cs="仿宋"/>
          <w:b/>
          <w:bCs/>
          <w:sz w:val="24"/>
          <w:szCs w:val="24"/>
        </w:rPr>
        <w:t>（相同报价时按以下标准依次评定中标单位：1、《关于公布广东电力市场2025年信用评价结果的通知》信用评价结果等级更高者获优先评审；2、以提供的电房实验或代维次数作为量化指标；按照次数从高到低确定该项的评审优先级，提供代维或实验次数数值更高的投标人获优先评审。）</w:t>
      </w:r>
    </w:p>
    <w:p w14:paraId="2D22BE76">
      <w:pPr>
        <w:spacing w:line="600" w:lineRule="exact"/>
        <w:ind w:firstLine="480" w:firstLineChars="200"/>
      </w:pPr>
      <w:r>
        <w:rPr>
          <w:rFonts w:hint="eastAsia" w:ascii="仿宋" w:hAnsi="仿宋" w:eastAsia="仿宋" w:cs="仿宋"/>
          <w:sz w:val="24"/>
          <w:szCs w:val="24"/>
        </w:rPr>
        <w:t>询价结束后，招标采购工作小组将相关询价情况按程序审批并确定成交人。</w:t>
      </w:r>
    </w:p>
    <w:p w14:paraId="28F181D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有下列情形之一的，采购人可不再重新采购：</w:t>
      </w:r>
    </w:p>
    <w:p w14:paraId="540E1DA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（1）经评议有效投标的投标人数量不足3个的；</w:t>
      </w:r>
    </w:p>
    <w:p w14:paraId="3C9514C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（2）采购制度规定的其他采购失败情形的。</w:t>
      </w:r>
    </w:p>
    <w:p w14:paraId="3E4B8A43">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出现上述情形后，由采购小组根据实际情况对本次采购作出延缓采购工作或转为谈判(有效投标的投标人数量2个)、直接委托(有效投标的投标人数量1个)等方式。</w:t>
      </w:r>
    </w:p>
    <w:p w14:paraId="7303EFF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谈判程序为：采购小组集中与单一投标单位分别进行谈判，并进行二次报价，谈判过程中的任何一方不得透露与谈判有关的其它投标单位的技术资料、价格或其它信息。</w:t>
      </w:r>
    </w:p>
    <w:p w14:paraId="791B0AA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谈判定标方式：最终价低者（不含税价格最低者为中标单位）。</w:t>
      </w:r>
    </w:p>
    <w:p w14:paraId="1D74ED8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八、采取的合同文本</w:t>
      </w:r>
    </w:p>
    <w:p w14:paraId="29C84E4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合同签订的依据为询价文件、报价文件及补充说明等。确定成交单位后，成交单位协助采购人在</w:t>
      </w:r>
      <w:r>
        <w:rPr>
          <w:rFonts w:hint="eastAsia" w:ascii="仿宋" w:hAnsi="仿宋" w:eastAsia="仿宋" w:cs="仿宋"/>
          <w:sz w:val="24"/>
          <w:szCs w:val="24"/>
          <w:u w:val="single"/>
        </w:rPr>
        <w:t>当天完成电力交易中心线上合同签订</w:t>
      </w:r>
      <w:r>
        <w:rPr>
          <w:rFonts w:hint="eastAsia" w:ascii="仿宋" w:hAnsi="仿宋" w:eastAsia="仿宋" w:cs="仿宋"/>
          <w:sz w:val="24"/>
          <w:szCs w:val="24"/>
        </w:rPr>
        <w:t>。</w:t>
      </w:r>
    </w:p>
    <w:p w14:paraId="04708AB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九、响应文件的组成部分（响应文件本项资料如有不全，则作无效报价处理）</w:t>
      </w:r>
    </w:p>
    <w:p w14:paraId="6C852394">
      <w:pPr>
        <w:numPr>
          <w:ilvl w:val="0"/>
          <w:numId w:val="3"/>
        </w:num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报价表（模板）；</w:t>
      </w:r>
    </w:p>
    <w:p w14:paraId="4AB2D3F5">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2、法人证明（模板）以及法人身份证复印件；</w:t>
      </w:r>
    </w:p>
    <w:p w14:paraId="497A4D1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3、法人授权书（模板）及被委托人身份证复印件；</w:t>
      </w:r>
    </w:p>
    <w:p w14:paraId="73ED866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4、承诺函（模板）；</w:t>
      </w:r>
    </w:p>
    <w:p w14:paraId="7A4A566A">
      <w:pPr>
        <w:spacing w:line="600" w:lineRule="exact"/>
        <w:ind w:firstLine="480" w:firstLineChars="200"/>
        <w:rPr>
          <w:rFonts w:hint="eastAsia" w:ascii="仿宋" w:hAnsi="仿宋" w:eastAsia="仿宋" w:cs="仿宋"/>
          <w:b/>
          <w:sz w:val="24"/>
          <w:szCs w:val="24"/>
        </w:rPr>
      </w:pPr>
      <w:r>
        <w:rPr>
          <w:rFonts w:hint="eastAsia" w:ascii="仿宋" w:hAnsi="仿宋" w:eastAsia="仿宋" w:cs="仿宋"/>
          <w:sz w:val="24"/>
          <w:szCs w:val="24"/>
        </w:rPr>
        <w:t>5、响应人认为需要提供的其他资料。</w:t>
      </w:r>
    </w:p>
    <w:p w14:paraId="10E20C7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响应人须严格按照采购人提供的表单格式报价，响应文件必须装订完整，于骑缝处加盖投标单位企业公章。装有响应文件的文件袋须贴有密封条，于骑缝处加盖企业公章。</w:t>
      </w:r>
    </w:p>
    <w:p w14:paraId="4B059AC8">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十、响应文件份数</w:t>
      </w:r>
    </w:p>
    <w:p w14:paraId="310FCB2A">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u w:val="single"/>
        </w:rPr>
        <w:t>正本一份</w:t>
      </w:r>
      <w:r>
        <w:rPr>
          <w:rFonts w:hint="eastAsia" w:ascii="仿宋" w:hAnsi="仿宋" w:eastAsia="仿宋" w:cs="仿宋"/>
          <w:sz w:val="24"/>
          <w:szCs w:val="24"/>
        </w:rPr>
        <w:t>，副本一份，并提供响应文件</w:t>
      </w:r>
      <w:r>
        <w:rPr>
          <w:rFonts w:hint="eastAsia" w:ascii="仿宋" w:hAnsi="仿宋" w:eastAsia="仿宋" w:cs="仿宋"/>
          <w:sz w:val="24"/>
          <w:szCs w:val="24"/>
          <w:u w:val="single"/>
        </w:rPr>
        <w:t>盖章扫描件及电子版（U盘）</w:t>
      </w:r>
      <w:r>
        <w:rPr>
          <w:rFonts w:hint="eastAsia" w:ascii="仿宋" w:hAnsi="仿宋" w:eastAsia="仿宋" w:cs="仿宋"/>
          <w:sz w:val="24"/>
          <w:szCs w:val="24"/>
        </w:rPr>
        <w:t>。</w:t>
      </w:r>
    </w:p>
    <w:p w14:paraId="45F1E24C">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十一、开标时间及地址</w:t>
      </w:r>
    </w:p>
    <w:p w14:paraId="6B8367DB">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1、开标时间：</w:t>
      </w:r>
      <w:r>
        <w:rPr>
          <w:rFonts w:hint="eastAsia" w:ascii="仿宋" w:hAnsi="仿宋" w:eastAsia="仿宋" w:cs="仿宋"/>
          <w:b/>
          <w:sz w:val="24"/>
          <w:szCs w:val="24"/>
          <w:u w:val="single"/>
        </w:rPr>
        <w:t xml:space="preserve"> 2025年10月</w:t>
      </w:r>
      <w:r>
        <w:rPr>
          <w:rFonts w:hint="eastAsia" w:ascii="仿宋" w:hAnsi="仿宋" w:eastAsia="仿宋" w:cs="仿宋"/>
          <w:b/>
          <w:sz w:val="24"/>
          <w:szCs w:val="24"/>
          <w:u w:val="single"/>
          <w:lang w:val="en-US" w:eastAsia="zh-CN"/>
        </w:rPr>
        <w:t>31</w:t>
      </w:r>
      <w:r>
        <w:rPr>
          <w:rFonts w:hint="eastAsia" w:ascii="仿宋" w:hAnsi="仿宋" w:eastAsia="仿宋" w:cs="仿宋"/>
          <w:b/>
          <w:sz w:val="24"/>
          <w:szCs w:val="24"/>
          <w:u w:val="single"/>
        </w:rPr>
        <w:t xml:space="preserve">日，上午10 时 30分 </w:t>
      </w:r>
      <w:r>
        <w:rPr>
          <w:rFonts w:hint="eastAsia" w:ascii="仿宋" w:hAnsi="仿宋" w:eastAsia="仿宋" w:cs="仿宋"/>
          <w:b/>
          <w:sz w:val="24"/>
          <w:szCs w:val="24"/>
        </w:rPr>
        <w:t>。</w:t>
      </w:r>
    </w:p>
    <w:p w14:paraId="2B342C21">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2、开标地址：</w:t>
      </w:r>
      <w:r>
        <w:rPr>
          <w:rFonts w:hint="eastAsia" w:ascii="仿宋" w:hAnsi="仿宋" w:eastAsia="仿宋" w:cs="仿宋"/>
          <w:b/>
          <w:sz w:val="24"/>
          <w:szCs w:val="24"/>
          <w:u w:val="single"/>
        </w:rPr>
        <w:t>东莞市南城街道城市风景街9栋3层城工集团开标室</w:t>
      </w:r>
    </w:p>
    <w:p w14:paraId="0B8DB34D">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胡工  </w:t>
      </w:r>
      <w:r>
        <w:rPr>
          <w:rFonts w:hint="eastAsia" w:ascii="仿宋" w:hAnsi="仿宋" w:eastAsia="仿宋" w:cs="仿宋"/>
          <w:sz w:val="24"/>
          <w:szCs w:val="24"/>
        </w:rPr>
        <w:t>联系电话：</w:t>
      </w:r>
      <w:r>
        <w:rPr>
          <w:rFonts w:hint="eastAsia" w:ascii="仿宋" w:hAnsi="仿宋" w:eastAsia="仿宋" w:cs="仿宋"/>
          <w:sz w:val="24"/>
          <w:szCs w:val="24"/>
          <w:u w:val="single"/>
        </w:rPr>
        <w:t xml:space="preserve"> 13809625338  </w:t>
      </w:r>
    </w:p>
    <w:p w14:paraId="5624451F">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十二、注意事项</w:t>
      </w:r>
      <w:bookmarkStart w:id="15" w:name="_GoBack"/>
      <w:bookmarkEnd w:id="15"/>
    </w:p>
    <w:p w14:paraId="487CA049">
      <w:pPr>
        <w:spacing w:line="600" w:lineRule="exact"/>
        <w:ind w:firstLine="480" w:firstLineChars="200"/>
        <w:rPr>
          <w:rFonts w:hint="eastAsia" w:ascii="仿宋" w:hAnsi="仿宋" w:eastAsia="仿宋" w:cs="仿宋"/>
          <w:sz w:val="24"/>
          <w:szCs w:val="24"/>
        </w:rPr>
      </w:pPr>
      <w:bookmarkStart w:id="0" w:name="_Hlk517879660"/>
      <w:r>
        <w:rPr>
          <w:rFonts w:hint="eastAsia" w:ascii="仿宋" w:hAnsi="仿宋" w:eastAsia="仿宋" w:cs="仿宋"/>
          <w:sz w:val="24"/>
          <w:szCs w:val="24"/>
        </w:rPr>
        <w:t>1、若响应人未按规定时间将文件送达现场，视为放弃投标资格。</w:t>
      </w:r>
    </w:p>
    <w:p w14:paraId="701DEB2E">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2、采购人向响应人提供的有关资料和数据，是采购人现有的能使响应人利用的资料，采购人对响应人由此而做出的推论、理解和结论概不负责。</w:t>
      </w:r>
    </w:p>
    <w:p w14:paraId="46D43BA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3、本项目执行过程中将遵循国家、省、市有关法律、法规、标准、技术规范和规范性文件的最新规定。</w:t>
      </w:r>
      <w:bookmarkEnd w:id="0"/>
    </w:p>
    <w:p w14:paraId="570207FB">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4、成交单位对采购文件中技术条款作出的负偏离，采购人如不接受，可要求成交单位以采购文件的要求为准，如成交单位拒绝的，采购人有权取消其成交资格或取消合同。采购人不作任何补偿。</w:t>
      </w:r>
    </w:p>
    <w:p w14:paraId="03F90181">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5、本项目仅可提交一个报价方案，提交两个或以上报价方案的响应人视为无效报价。</w:t>
      </w:r>
    </w:p>
    <w:p w14:paraId="02BB52C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6、本项目不接受响应人其他附加条件。</w:t>
      </w:r>
    </w:p>
    <w:p w14:paraId="6762AC59">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7、有下列情形之一的，报价保证金将被没收，并纳入采购人供应商黑名单：</w:t>
      </w:r>
    </w:p>
    <w:p w14:paraId="4F7AC44D">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（1）中标后无正当理由放弃中标或不与采购人签订合同。</w:t>
      </w:r>
    </w:p>
    <w:p w14:paraId="33C99304">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（2）成交人将本项目转让给他人，或者在报价文件中未说明，且未经采购人同意，将中标项目分包给他人，采购人可没收其报价保证金。</w:t>
      </w:r>
    </w:p>
    <w:p w14:paraId="5719E08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（3）报价人提供虚假报价文件或虚假补充文件</w:t>
      </w:r>
    </w:p>
    <w:p w14:paraId="16C6D630">
      <w:pPr>
        <w:widowControl/>
        <w:spacing w:line="600" w:lineRule="exact"/>
        <w:jc w:val="left"/>
        <w:rPr>
          <w:rFonts w:hint="eastAsia" w:ascii="仿宋" w:hAnsi="仿宋" w:eastAsia="仿宋" w:cs="仿宋"/>
          <w:sz w:val="24"/>
          <w:szCs w:val="24"/>
        </w:rPr>
      </w:pPr>
    </w:p>
    <w:p w14:paraId="6513A5AF">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东莞市城市工程建设集团有限公司</w:t>
      </w:r>
    </w:p>
    <w:p w14:paraId="3DC817E5">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2025年 10 月</w:t>
      </w:r>
      <w:r>
        <w:rPr>
          <w:rFonts w:hint="eastAsia" w:ascii="仿宋" w:hAnsi="仿宋" w:eastAsia="仿宋" w:cs="仿宋"/>
          <w:sz w:val="24"/>
          <w:szCs w:val="24"/>
          <w:lang w:val="en-US" w:eastAsia="zh-CN"/>
        </w:rPr>
        <w:t>27</w:t>
      </w:r>
      <w:r>
        <w:rPr>
          <w:rFonts w:ascii="仿宋" w:hAnsi="仿宋" w:eastAsia="仿宋" w:cs="仿宋"/>
          <w:sz w:val="24"/>
          <w:szCs w:val="24"/>
        </w:rPr>
        <w:t>日</w:t>
      </w:r>
    </w:p>
    <w:p w14:paraId="4049868E">
      <w:pPr>
        <w:widowControl/>
        <w:spacing w:line="600" w:lineRule="exact"/>
        <w:ind w:firstLine="480" w:firstLineChars="200"/>
        <w:jc w:val="left"/>
        <w:rPr>
          <w:rFonts w:hint="eastAsia" w:ascii="仿宋" w:hAnsi="仿宋" w:eastAsia="仿宋" w:cs="仿宋"/>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5FBBD1AC">
      <w:pPr>
        <w:pStyle w:val="43"/>
        <w:ind w:firstLine="0" w:firstLineChars="0"/>
        <w:jc w:val="left"/>
        <w:outlineLvl w:val="1"/>
        <w:rPr>
          <w:rFonts w:eastAsia="华文中宋"/>
          <w:color w:val="000000"/>
          <w:sz w:val="44"/>
          <w:szCs w:val="44"/>
        </w:rPr>
      </w:pPr>
      <w:bookmarkStart w:id="1" w:name="_Hlk524442005"/>
      <w:r>
        <w:rPr>
          <w:rFonts w:hint="eastAsia" w:ascii="仿宋" w:hAnsi="仿宋" w:eastAsia="仿宋" w:cs="仿宋"/>
          <w:sz w:val="24"/>
          <w:szCs w:val="24"/>
        </w:rPr>
        <w:t xml:space="preserve">附件一  </w:t>
      </w:r>
      <w:r>
        <w:rPr>
          <w:rFonts w:hint="eastAsia" w:eastAsia="黑体"/>
          <w:color w:val="000000"/>
          <w:sz w:val="28"/>
          <w:szCs w:val="44"/>
        </w:rPr>
        <w:t>响应须知</w:t>
      </w:r>
    </w:p>
    <w:p w14:paraId="43679664">
      <w:pPr>
        <w:jc w:val="center"/>
        <w:rPr>
          <w:rFonts w:eastAsia="华文中宋"/>
          <w:color w:val="000000"/>
          <w:sz w:val="44"/>
          <w:szCs w:val="44"/>
        </w:rPr>
      </w:pPr>
      <w:r>
        <w:rPr>
          <w:rFonts w:hint="eastAsia" w:eastAsia="华文中宋"/>
          <w:color w:val="000000"/>
          <w:sz w:val="44"/>
          <w:szCs w:val="44"/>
        </w:rPr>
        <w:t>响应须知</w:t>
      </w:r>
    </w:p>
    <w:tbl>
      <w:tblPr>
        <w:tblStyle w:val="2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0FA69F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78014B2C">
            <w:pPr>
              <w:pStyle w:val="22"/>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14:paraId="64ADD6CF">
            <w:pPr>
              <w:pStyle w:val="22"/>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14:paraId="7C16BEE7">
            <w:pPr>
              <w:pStyle w:val="22"/>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14:paraId="7B9171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64F3275">
            <w:pPr>
              <w:spacing w:line="360" w:lineRule="auto"/>
              <w:jc w:val="center"/>
              <w:rPr>
                <w:rFonts w:eastAsia="仿宋_GB2312"/>
                <w:color w:val="000000"/>
                <w:sz w:val="32"/>
                <w:szCs w:val="32"/>
              </w:rPr>
            </w:pPr>
            <w:r>
              <w:rPr>
                <w:rFonts w:eastAsia="仿宋_GB2312"/>
                <w:color w:val="000000"/>
                <w:sz w:val="32"/>
                <w:szCs w:val="32"/>
              </w:rPr>
              <w:t>1</w:t>
            </w:r>
          </w:p>
        </w:tc>
        <w:tc>
          <w:tcPr>
            <w:tcW w:w="2275" w:type="dxa"/>
            <w:vAlign w:val="center"/>
          </w:tcPr>
          <w:p w14:paraId="274F7830">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14:paraId="2EC2A06E">
            <w:pPr>
              <w:adjustRightInd w:val="0"/>
              <w:snapToGrid w:val="0"/>
              <w:spacing w:line="560" w:lineRule="exact"/>
              <w:rPr>
                <w:rFonts w:eastAsia="仿宋_GB2312"/>
                <w:color w:val="000000"/>
                <w:sz w:val="32"/>
                <w:szCs w:val="32"/>
              </w:rPr>
            </w:pPr>
            <w:r>
              <w:rPr>
                <w:rFonts w:eastAsia="仿宋_GB2312"/>
                <w:color w:val="000000"/>
                <w:sz w:val="32"/>
                <w:szCs w:val="32"/>
              </w:rPr>
              <w:t>城工集团202</w:t>
            </w:r>
            <w:r>
              <w:rPr>
                <w:rFonts w:hint="eastAsia" w:eastAsia="仿宋_GB2312"/>
                <w:color w:val="000000"/>
                <w:sz w:val="32"/>
                <w:szCs w:val="32"/>
              </w:rPr>
              <w:t>6</w:t>
            </w:r>
            <w:r>
              <w:rPr>
                <w:rFonts w:eastAsia="仿宋_GB2312"/>
                <w:color w:val="000000"/>
                <w:sz w:val="32"/>
                <w:szCs w:val="32"/>
              </w:rPr>
              <w:t>年度电力交易项目</w:t>
            </w:r>
          </w:p>
        </w:tc>
      </w:tr>
      <w:tr w14:paraId="47CFBD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5B772C7">
            <w:pPr>
              <w:spacing w:line="360" w:lineRule="auto"/>
              <w:jc w:val="center"/>
              <w:rPr>
                <w:rFonts w:eastAsia="仿宋_GB2312"/>
                <w:color w:val="000000"/>
                <w:sz w:val="32"/>
                <w:szCs w:val="32"/>
              </w:rPr>
            </w:pPr>
            <w:r>
              <w:rPr>
                <w:rFonts w:hint="eastAsia" w:eastAsia="仿宋_GB2312"/>
                <w:color w:val="000000"/>
                <w:sz w:val="32"/>
                <w:szCs w:val="32"/>
              </w:rPr>
              <w:t>2</w:t>
            </w:r>
          </w:p>
        </w:tc>
        <w:tc>
          <w:tcPr>
            <w:tcW w:w="2275" w:type="dxa"/>
            <w:vAlign w:val="center"/>
          </w:tcPr>
          <w:p w14:paraId="39BAFC5B">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14:paraId="55701483">
            <w:pPr>
              <w:spacing w:line="360" w:lineRule="auto"/>
              <w:rPr>
                <w:rFonts w:eastAsia="仿宋_GB2312"/>
                <w:color w:val="000000"/>
                <w:sz w:val="32"/>
                <w:szCs w:val="32"/>
              </w:rPr>
            </w:pPr>
            <w:r>
              <w:rPr>
                <w:rFonts w:hint="eastAsia" w:eastAsia="仿宋_GB2312"/>
                <w:color w:val="000000"/>
                <w:sz w:val="32"/>
                <w:szCs w:val="32"/>
              </w:rPr>
              <w:t>服务类</w:t>
            </w:r>
          </w:p>
        </w:tc>
      </w:tr>
      <w:tr w14:paraId="04DB9C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7997484">
            <w:pPr>
              <w:spacing w:line="360" w:lineRule="auto"/>
              <w:jc w:val="center"/>
              <w:rPr>
                <w:rFonts w:eastAsia="仿宋_GB2312"/>
                <w:color w:val="000000"/>
                <w:sz w:val="32"/>
                <w:szCs w:val="32"/>
              </w:rPr>
            </w:pPr>
            <w:r>
              <w:rPr>
                <w:rFonts w:hint="eastAsia" w:eastAsia="仿宋_GB2312"/>
                <w:color w:val="000000"/>
                <w:sz w:val="32"/>
                <w:szCs w:val="32"/>
              </w:rPr>
              <w:t>3</w:t>
            </w:r>
          </w:p>
        </w:tc>
        <w:tc>
          <w:tcPr>
            <w:tcW w:w="2275" w:type="dxa"/>
            <w:vAlign w:val="center"/>
          </w:tcPr>
          <w:p w14:paraId="2517A786">
            <w:pPr>
              <w:spacing w:line="360" w:lineRule="auto"/>
              <w:jc w:val="center"/>
              <w:rPr>
                <w:rFonts w:eastAsia="仿宋_GB2312"/>
                <w:color w:val="000000"/>
                <w:sz w:val="32"/>
                <w:szCs w:val="32"/>
              </w:rPr>
            </w:pPr>
            <w:r>
              <w:rPr>
                <w:rFonts w:hint="eastAsia" w:eastAsia="仿宋_GB2312"/>
                <w:color w:val="000000"/>
                <w:sz w:val="32"/>
                <w:szCs w:val="32"/>
              </w:rPr>
              <w:t>价格模式</w:t>
            </w:r>
          </w:p>
        </w:tc>
        <w:tc>
          <w:tcPr>
            <w:tcW w:w="5942" w:type="dxa"/>
            <w:vAlign w:val="center"/>
          </w:tcPr>
          <w:p w14:paraId="178282AB">
            <w:pPr>
              <w:spacing w:line="360" w:lineRule="auto"/>
              <w:rPr>
                <w:rFonts w:eastAsia="仿宋_GB2312"/>
                <w:color w:val="000000"/>
                <w:sz w:val="32"/>
                <w:szCs w:val="32"/>
              </w:rPr>
            </w:pPr>
            <w:r>
              <w:rPr>
                <w:rFonts w:hint="eastAsia" w:eastAsia="仿宋_GB2312"/>
                <w:color w:val="000000"/>
                <w:sz w:val="32"/>
                <w:szCs w:val="32"/>
              </w:rPr>
              <w:t>固定单价</w:t>
            </w:r>
          </w:p>
        </w:tc>
      </w:tr>
      <w:tr w14:paraId="6594EA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80D1EA5">
            <w:pPr>
              <w:spacing w:line="360" w:lineRule="auto"/>
              <w:jc w:val="center"/>
              <w:rPr>
                <w:rFonts w:eastAsia="仿宋_GB2312"/>
                <w:color w:val="000000"/>
                <w:sz w:val="32"/>
                <w:szCs w:val="32"/>
              </w:rPr>
            </w:pPr>
            <w:r>
              <w:rPr>
                <w:rFonts w:hint="eastAsia" w:eastAsia="仿宋_GB2312"/>
                <w:color w:val="000000"/>
                <w:sz w:val="32"/>
                <w:szCs w:val="32"/>
              </w:rPr>
              <w:t>4</w:t>
            </w:r>
          </w:p>
        </w:tc>
        <w:tc>
          <w:tcPr>
            <w:tcW w:w="2275" w:type="dxa"/>
            <w:vAlign w:val="center"/>
          </w:tcPr>
          <w:p w14:paraId="2A5D955B">
            <w:pPr>
              <w:spacing w:line="360" w:lineRule="auto"/>
              <w:jc w:val="center"/>
              <w:rPr>
                <w:rFonts w:eastAsia="仿宋_GB2312"/>
                <w:color w:val="000000"/>
                <w:sz w:val="32"/>
                <w:szCs w:val="32"/>
              </w:rPr>
            </w:pPr>
            <w:r>
              <w:rPr>
                <w:rFonts w:hint="eastAsia" w:eastAsia="仿宋_GB2312"/>
                <w:color w:val="000000"/>
                <w:sz w:val="32"/>
                <w:szCs w:val="32"/>
              </w:rPr>
              <w:t>服务期要求</w:t>
            </w:r>
          </w:p>
        </w:tc>
        <w:tc>
          <w:tcPr>
            <w:tcW w:w="5942" w:type="dxa"/>
            <w:vAlign w:val="center"/>
          </w:tcPr>
          <w:p w14:paraId="63378FCF">
            <w:pPr>
              <w:spacing w:line="500" w:lineRule="exact"/>
              <w:jc w:val="left"/>
              <w:rPr>
                <w:rFonts w:eastAsia="仿宋_GB2312"/>
                <w:color w:val="000000"/>
                <w:sz w:val="32"/>
                <w:szCs w:val="32"/>
              </w:rPr>
            </w:pPr>
            <w:r>
              <w:rPr>
                <w:rFonts w:hint="eastAsia" w:eastAsia="仿宋_GB2312"/>
                <w:color w:val="000000"/>
                <w:sz w:val="32"/>
                <w:szCs w:val="32"/>
              </w:rPr>
              <w:t>2026年1月1日至2026年12月31日；</w:t>
            </w:r>
          </w:p>
        </w:tc>
      </w:tr>
      <w:tr w14:paraId="1D08E8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CF69104">
            <w:pPr>
              <w:spacing w:line="360" w:lineRule="auto"/>
              <w:jc w:val="center"/>
              <w:rPr>
                <w:rFonts w:eastAsia="仿宋_GB2312"/>
                <w:color w:val="000000"/>
                <w:sz w:val="32"/>
                <w:szCs w:val="32"/>
              </w:rPr>
            </w:pPr>
            <w:r>
              <w:rPr>
                <w:rFonts w:hint="eastAsia" w:eastAsia="仿宋_GB2312"/>
                <w:color w:val="000000"/>
                <w:sz w:val="32"/>
                <w:szCs w:val="32"/>
              </w:rPr>
              <w:t>5</w:t>
            </w:r>
          </w:p>
        </w:tc>
        <w:tc>
          <w:tcPr>
            <w:tcW w:w="2275" w:type="dxa"/>
            <w:vAlign w:val="center"/>
          </w:tcPr>
          <w:p w14:paraId="3A261AF9">
            <w:pPr>
              <w:spacing w:line="360" w:lineRule="auto"/>
              <w:jc w:val="center"/>
              <w:rPr>
                <w:rFonts w:eastAsia="仿宋_GB2312"/>
                <w:color w:val="000000"/>
                <w:sz w:val="32"/>
                <w:szCs w:val="32"/>
              </w:rPr>
            </w:pPr>
            <w:r>
              <w:rPr>
                <w:rFonts w:hint="eastAsia" w:eastAsia="仿宋_GB2312"/>
                <w:color w:val="000000"/>
                <w:sz w:val="32"/>
                <w:szCs w:val="32"/>
              </w:rPr>
              <w:t>其他要求</w:t>
            </w:r>
          </w:p>
        </w:tc>
        <w:tc>
          <w:tcPr>
            <w:tcW w:w="5942" w:type="dxa"/>
            <w:vAlign w:val="center"/>
          </w:tcPr>
          <w:p w14:paraId="62E59819">
            <w:pPr>
              <w:spacing w:line="500" w:lineRule="exact"/>
              <w:ind w:firstLine="320" w:firstLineChars="100"/>
              <w:jc w:val="left"/>
            </w:pPr>
            <w:r>
              <w:rPr>
                <w:rFonts w:eastAsia="仿宋_GB2312"/>
                <w:color w:val="000000"/>
                <w:sz w:val="32"/>
                <w:szCs w:val="32"/>
              </w:rPr>
              <w:t>固定电能量价格不得低于</w:t>
            </w:r>
            <w:r>
              <w:rPr>
                <w:rFonts w:hint="eastAsia" w:eastAsia="仿宋_GB2312"/>
                <w:color w:val="000000"/>
                <w:sz w:val="32"/>
                <w:szCs w:val="32"/>
              </w:rPr>
              <w:t>0.372元/</w:t>
            </w:r>
            <w:r>
              <w:rPr>
                <w:rFonts w:eastAsia="仿宋_GB2312"/>
                <w:color w:val="000000"/>
                <w:sz w:val="32"/>
                <w:szCs w:val="32"/>
              </w:rPr>
              <w:t>千瓦时且不得高于0.</w:t>
            </w:r>
            <w:r>
              <w:rPr>
                <w:rFonts w:hint="eastAsia" w:eastAsia="仿宋_GB2312"/>
                <w:color w:val="000000"/>
                <w:sz w:val="32"/>
                <w:szCs w:val="32"/>
              </w:rPr>
              <w:t>428</w:t>
            </w:r>
            <w:r>
              <w:rPr>
                <w:rFonts w:eastAsia="仿宋_GB2312"/>
                <w:color w:val="000000"/>
                <w:sz w:val="32"/>
                <w:szCs w:val="32"/>
              </w:rPr>
              <w:t>元/千瓦时，市场联动部分采用月度中长期交易综合价参与交易，固定电能量价格报价超出范围的则无效；</w:t>
            </w:r>
          </w:p>
        </w:tc>
      </w:tr>
      <w:tr w14:paraId="3BFED4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9CD36AA">
            <w:pPr>
              <w:spacing w:line="360" w:lineRule="auto"/>
              <w:jc w:val="center"/>
              <w:rPr>
                <w:rFonts w:eastAsia="仿宋_GB2312"/>
                <w:color w:val="000000"/>
                <w:sz w:val="32"/>
                <w:szCs w:val="32"/>
              </w:rPr>
            </w:pPr>
            <w:r>
              <w:rPr>
                <w:rFonts w:hint="eastAsia" w:eastAsia="仿宋_GB2312"/>
                <w:color w:val="000000"/>
                <w:sz w:val="32"/>
                <w:szCs w:val="32"/>
              </w:rPr>
              <w:t>6</w:t>
            </w:r>
          </w:p>
        </w:tc>
        <w:tc>
          <w:tcPr>
            <w:tcW w:w="2275" w:type="dxa"/>
          </w:tcPr>
          <w:p w14:paraId="50B71DBB">
            <w:pPr>
              <w:spacing w:line="360" w:lineRule="auto"/>
              <w:jc w:val="center"/>
              <w:rPr>
                <w:rFonts w:eastAsia="仿宋_GB2312"/>
                <w:color w:val="000000"/>
                <w:sz w:val="32"/>
                <w:szCs w:val="32"/>
              </w:rPr>
            </w:pPr>
            <w:r>
              <w:rPr>
                <w:rFonts w:hint="eastAsia" w:eastAsia="仿宋_GB2312"/>
                <w:color w:val="000000"/>
                <w:sz w:val="32"/>
                <w:szCs w:val="32"/>
              </w:rPr>
              <w:t>询价保证金金额及缴纳方式</w:t>
            </w:r>
          </w:p>
        </w:tc>
        <w:tc>
          <w:tcPr>
            <w:tcW w:w="5942" w:type="dxa"/>
            <w:vAlign w:val="center"/>
          </w:tcPr>
          <w:p w14:paraId="1BFC6015">
            <w:pPr>
              <w:adjustRightInd w:val="0"/>
              <w:snapToGrid w:val="0"/>
              <w:spacing w:line="560" w:lineRule="exact"/>
              <w:rPr>
                <w:rFonts w:eastAsia="仿宋_GB2312"/>
                <w:color w:val="000000"/>
                <w:sz w:val="32"/>
                <w:szCs w:val="32"/>
              </w:rPr>
            </w:pPr>
            <w:r>
              <w:rPr>
                <w:rFonts w:hint="eastAsia" w:eastAsia="仿宋_GB2312"/>
                <w:color w:val="000000"/>
                <w:sz w:val="32"/>
                <w:szCs w:val="32"/>
              </w:rPr>
              <w:t>本项目不设立保证金</w:t>
            </w:r>
          </w:p>
        </w:tc>
      </w:tr>
      <w:tr w14:paraId="51380B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A2F0305">
            <w:pPr>
              <w:spacing w:line="360" w:lineRule="auto"/>
              <w:jc w:val="center"/>
              <w:rPr>
                <w:rFonts w:eastAsia="仿宋_GB2312"/>
                <w:color w:val="000000"/>
                <w:sz w:val="32"/>
                <w:szCs w:val="32"/>
              </w:rPr>
            </w:pPr>
            <w:r>
              <w:rPr>
                <w:rFonts w:hint="eastAsia" w:eastAsia="仿宋_GB2312"/>
                <w:color w:val="000000"/>
                <w:sz w:val="32"/>
                <w:szCs w:val="32"/>
              </w:rPr>
              <w:t>7</w:t>
            </w:r>
          </w:p>
        </w:tc>
        <w:tc>
          <w:tcPr>
            <w:tcW w:w="2275" w:type="dxa"/>
          </w:tcPr>
          <w:p w14:paraId="38939FF2">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14:paraId="126BEB8C">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14:paraId="0E8751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E1111A9">
            <w:pPr>
              <w:spacing w:line="360" w:lineRule="auto"/>
              <w:jc w:val="center"/>
              <w:rPr>
                <w:rFonts w:eastAsia="仿宋_GB2312"/>
                <w:color w:val="000000"/>
                <w:sz w:val="32"/>
                <w:szCs w:val="32"/>
              </w:rPr>
            </w:pPr>
            <w:r>
              <w:rPr>
                <w:rFonts w:hint="eastAsia" w:eastAsia="仿宋_GB2312"/>
                <w:color w:val="000000"/>
                <w:sz w:val="32"/>
                <w:szCs w:val="32"/>
              </w:rPr>
              <w:t>8</w:t>
            </w:r>
          </w:p>
        </w:tc>
        <w:tc>
          <w:tcPr>
            <w:tcW w:w="2275" w:type="dxa"/>
            <w:vAlign w:val="center"/>
          </w:tcPr>
          <w:p w14:paraId="1FDF8492">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14:paraId="5CED9866">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14:paraId="21FC6636">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14:paraId="6AE9E15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14:paraId="2976712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14:paraId="3FE038B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14:paraId="17EBAF60">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14:paraId="47B3BDE2">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14:paraId="55884FE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14:paraId="696F4C94">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、响应人在询价活动中有下列行为之一的，应视情节轻重，暂停或取消其参与采购人旗下采购项目的资格：</w:t>
            </w:r>
          </w:p>
          <w:p w14:paraId="6DD9B1EA">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14:paraId="538B4A4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14:paraId="21AD71C4">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14:paraId="15F23C3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14:paraId="08FD569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14:paraId="79F07AD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14:paraId="19A5274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14:paraId="6FDFB56A">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14:paraId="743F8450">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14:paraId="43C3E4FA">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14:paraId="4D3424A9">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14:paraId="646F391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14:paraId="19ED1A9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14:paraId="3820FAE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14:paraId="64463BA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14:paraId="756C0175">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14:paraId="4B80ECC0">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14:paraId="2C075658">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14:paraId="30884A9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14:paraId="77A1FD1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14:paraId="1C770F5C">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14:paraId="1E94F24C">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14:paraId="53201816">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14:paraId="1148F2F7">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14:paraId="369DA195">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14:paraId="584C9F47">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bl>
    <w:p w14:paraId="785F5AA5">
      <w:pPr>
        <w:pStyle w:val="43"/>
        <w:ind w:firstLine="0" w:firstLineChars="0"/>
        <w:jc w:val="left"/>
        <w:outlineLvl w:val="1"/>
        <w:rPr>
          <w:rFonts w:hint="eastAsia" w:ascii="仿宋" w:hAnsi="仿宋" w:eastAsia="仿宋" w:cs="仿宋"/>
          <w:b/>
          <w:bCs/>
          <w:sz w:val="24"/>
          <w:szCs w:val="24"/>
        </w:rPr>
      </w:pPr>
    </w:p>
    <w:p w14:paraId="7D2572CF">
      <w:pPr>
        <w:pStyle w:val="44"/>
        <w:ind w:firstLine="480"/>
        <w:rPr>
          <w:rFonts w:hint="eastAsia" w:ascii="仿宋" w:hAnsi="仿宋" w:eastAsia="仿宋" w:cs="仿宋"/>
          <w:sz w:val="24"/>
          <w:szCs w:val="24"/>
        </w:rPr>
      </w:pPr>
    </w:p>
    <w:p w14:paraId="20B26D9B">
      <w:pPr>
        <w:pStyle w:val="44"/>
        <w:ind w:firstLine="480"/>
        <w:rPr>
          <w:rFonts w:hint="eastAsia" w:ascii="仿宋" w:hAnsi="仿宋" w:eastAsia="仿宋" w:cs="仿宋"/>
          <w:sz w:val="24"/>
          <w:szCs w:val="24"/>
        </w:rPr>
      </w:pPr>
    </w:p>
    <w:p w14:paraId="78239744">
      <w:pPr>
        <w:pStyle w:val="44"/>
        <w:ind w:firstLine="480"/>
        <w:rPr>
          <w:rFonts w:hint="eastAsia" w:ascii="仿宋" w:hAnsi="仿宋" w:eastAsia="仿宋" w:cs="仿宋"/>
          <w:sz w:val="24"/>
          <w:szCs w:val="24"/>
        </w:rPr>
      </w:pPr>
    </w:p>
    <w:p w14:paraId="086F023E">
      <w:pPr>
        <w:pStyle w:val="44"/>
        <w:ind w:firstLine="480"/>
        <w:rPr>
          <w:rFonts w:hint="eastAsia" w:ascii="仿宋" w:hAnsi="仿宋" w:eastAsia="仿宋" w:cs="仿宋"/>
          <w:sz w:val="24"/>
          <w:szCs w:val="24"/>
        </w:rPr>
      </w:pPr>
    </w:p>
    <w:p w14:paraId="25B5C5CA">
      <w:pPr>
        <w:pStyle w:val="44"/>
        <w:ind w:firstLine="480"/>
        <w:rPr>
          <w:rFonts w:hint="eastAsia" w:ascii="仿宋" w:hAnsi="仿宋" w:eastAsia="仿宋" w:cs="仿宋"/>
          <w:sz w:val="24"/>
          <w:szCs w:val="24"/>
        </w:rPr>
      </w:pPr>
    </w:p>
    <w:p w14:paraId="497191E0">
      <w:pPr>
        <w:pStyle w:val="44"/>
        <w:ind w:firstLine="480"/>
        <w:rPr>
          <w:rFonts w:hint="eastAsia" w:ascii="仿宋" w:hAnsi="仿宋" w:eastAsia="仿宋" w:cs="仿宋"/>
          <w:sz w:val="24"/>
          <w:szCs w:val="24"/>
        </w:rPr>
      </w:pPr>
    </w:p>
    <w:p w14:paraId="24F620C2">
      <w:pPr>
        <w:pStyle w:val="44"/>
        <w:ind w:firstLine="480"/>
        <w:rPr>
          <w:rFonts w:hint="eastAsia" w:ascii="仿宋" w:hAnsi="仿宋" w:eastAsia="仿宋" w:cs="仿宋"/>
          <w:sz w:val="24"/>
          <w:szCs w:val="24"/>
        </w:rPr>
      </w:pPr>
    </w:p>
    <w:p w14:paraId="115378EA">
      <w:pPr>
        <w:pStyle w:val="44"/>
        <w:ind w:firstLine="480"/>
        <w:rPr>
          <w:rFonts w:hint="eastAsia" w:ascii="仿宋" w:hAnsi="仿宋" w:eastAsia="仿宋" w:cs="仿宋"/>
          <w:sz w:val="24"/>
          <w:szCs w:val="24"/>
        </w:rPr>
      </w:pPr>
    </w:p>
    <w:p w14:paraId="4A525298">
      <w:pPr>
        <w:pStyle w:val="44"/>
        <w:ind w:firstLine="480"/>
        <w:rPr>
          <w:rFonts w:hint="eastAsia" w:ascii="仿宋" w:hAnsi="仿宋" w:eastAsia="仿宋" w:cs="仿宋"/>
          <w:sz w:val="24"/>
          <w:szCs w:val="24"/>
        </w:rPr>
      </w:pPr>
    </w:p>
    <w:p w14:paraId="533763CA">
      <w:pPr>
        <w:pStyle w:val="44"/>
        <w:ind w:firstLine="480"/>
        <w:rPr>
          <w:rFonts w:hint="eastAsia" w:ascii="仿宋" w:hAnsi="仿宋" w:eastAsia="仿宋" w:cs="仿宋"/>
          <w:sz w:val="24"/>
          <w:szCs w:val="24"/>
        </w:rPr>
      </w:pPr>
    </w:p>
    <w:p w14:paraId="0EFC1CAB">
      <w:pPr>
        <w:pStyle w:val="44"/>
        <w:ind w:firstLine="480"/>
        <w:rPr>
          <w:rFonts w:hint="eastAsia" w:ascii="仿宋" w:hAnsi="仿宋" w:eastAsia="仿宋" w:cs="仿宋"/>
          <w:sz w:val="24"/>
          <w:szCs w:val="24"/>
        </w:rPr>
      </w:pPr>
    </w:p>
    <w:p w14:paraId="78E48F41">
      <w:pPr>
        <w:pStyle w:val="44"/>
        <w:ind w:firstLine="480"/>
        <w:rPr>
          <w:rFonts w:hint="eastAsia" w:ascii="仿宋" w:hAnsi="仿宋" w:eastAsia="仿宋" w:cs="仿宋"/>
          <w:sz w:val="24"/>
          <w:szCs w:val="24"/>
        </w:rPr>
      </w:pPr>
    </w:p>
    <w:p w14:paraId="7358A739">
      <w:pPr>
        <w:pStyle w:val="44"/>
        <w:ind w:firstLine="480"/>
        <w:rPr>
          <w:rFonts w:hint="eastAsia" w:ascii="仿宋" w:hAnsi="仿宋" w:eastAsia="仿宋" w:cs="仿宋"/>
          <w:sz w:val="24"/>
          <w:szCs w:val="24"/>
        </w:rPr>
      </w:pPr>
    </w:p>
    <w:p w14:paraId="2B14243A">
      <w:pPr>
        <w:pStyle w:val="44"/>
        <w:ind w:firstLine="480"/>
        <w:rPr>
          <w:rFonts w:hint="eastAsia" w:ascii="仿宋" w:hAnsi="仿宋" w:eastAsia="仿宋" w:cs="仿宋"/>
          <w:sz w:val="24"/>
          <w:szCs w:val="24"/>
        </w:rPr>
      </w:pPr>
    </w:p>
    <w:p w14:paraId="3EBE9BEA">
      <w:pPr>
        <w:pStyle w:val="44"/>
        <w:ind w:firstLine="480"/>
        <w:rPr>
          <w:rFonts w:hint="eastAsia" w:ascii="仿宋" w:hAnsi="仿宋" w:eastAsia="仿宋" w:cs="仿宋"/>
          <w:sz w:val="24"/>
          <w:szCs w:val="24"/>
        </w:rPr>
      </w:pPr>
      <w:r>
        <w:rPr>
          <w:rFonts w:hint="eastAsia" w:ascii="仿宋" w:hAnsi="仿宋" w:eastAsia="仿宋" w:cs="仿宋"/>
          <w:sz w:val="24"/>
          <w:szCs w:val="24"/>
        </w:rPr>
        <w:t>附件二   报价表</w:t>
      </w:r>
    </w:p>
    <w:p w14:paraId="3170277E">
      <w:pPr>
        <w:ind w:firstLine="3360" w:firstLineChars="1600"/>
        <w:rPr>
          <w:rFonts w:hint="eastAsia" w:ascii="仿宋" w:hAnsi="仿宋" w:eastAsia="仿宋" w:cs="仿宋"/>
        </w:rPr>
      </w:pPr>
    </w:p>
    <w:tbl>
      <w:tblPr>
        <w:tblStyle w:val="24"/>
        <w:tblW w:w="8460" w:type="dxa"/>
        <w:tblInd w:w="93" w:type="dxa"/>
        <w:tblLayout w:type="autofit"/>
        <w:tblCellMar>
          <w:top w:w="0" w:type="dxa"/>
          <w:left w:w="108" w:type="dxa"/>
          <w:bottom w:w="0" w:type="dxa"/>
          <w:right w:w="108" w:type="dxa"/>
        </w:tblCellMar>
      </w:tblPr>
      <w:tblGrid>
        <w:gridCol w:w="1965"/>
        <w:gridCol w:w="2055"/>
        <w:gridCol w:w="2208"/>
        <w:gridCol w:w="2232"/>
      </w:tblGrid>
      <w:tr w14:paraId="2D5CD6D3">
        <w:tblPrEx>
          <w:tblCellMar>
            <w:top w:w="0" w:type="dxa"/>
            <w:left w:w="108" w:type="dxa"/>
            <w:bottom w:w="0" w:type="dxa"/>
            <w:right w:w="108" w:type="dxa"/>
          </w:tblCellMar>
        </w:tblPrEx>
        <w:trPr>
          <w:trHeight w:val="96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36A7CB31">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模式</w:t>
            </w:r>
          </w:p>
        </w:tc>
        <w:tc>
          <w:tcPr>
            <w:tcW w:w="2055"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5E2AD60A">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基准价+上下浮动</w:t>
            </w:r>
          </w:p>
        </w:tc>
        <w:tc>
          <w:tcPr>
            <w:tcW w:w="2208"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2C62232A">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年用电量预估</w:t>
            </w:r>
          </w:p>
        </w:tc>
        <w:tc>
          <w:tcPr>
            <w:tcW w:w="2232" w:type="dxa"/>
            <w:tcBorders>
              <w:top w:val="single" w:color="000000" w:sz="4" w:space="0"/>
              <w:left w:val="single" w:color="000000" w:sz="4" w:space="0"/>
              <w:bottom w:val="single" w:color="000000" w:sz="4" w:space="0"/>
              <w:right w:val="single" w:color="000000" w:sz="4" w:space="0"/>
            </w:tcBorders>
            <w:shd w:val="clear" w:color="auto" w:fill="D0CECE"/>
            <w:vAlign w:val="center"/>
          </w:tcPr>
          <w:p w14:paraId="4BEBBA74">
            <w:pPr>
              <w:widowControl/>
              <w:jc w:val="center"/>
              <w:textAlignment w:val="center"/>
              <w:rPr>
                <w:rFonts w:hint="eastAsia" w:ascii="仿宋" w:hAnsi="仿宋" w:eastAsia="仿宋" w:cs="仿宋"/>
                <w:b/>
                <w:bCs/>
                <w:sz w:val="24"/>
                <w:szCs w:val="24"/>
              </w:rPr>
            </w:pPr>
            <w:r>
              <w:rPr>
                <w:rFonts w:hint="eastAsia" w:ascii="仿宋" w:hAnsi="仿宋" w:eastAsia="仿宋" w:cs="仿宋"/>
                <w:b/>
                <w:bCs/>
                <w:kern w:val="0"/>
                <w:sz w:val="24"/>
                <w:szCs w:val="24"/>
              </w:rPr>
              <w:t>亿千瓦时</w:t>
            </w:r>
          </w:p>
        </w:tc>
      </w:tr>
      <w:tr w14:paraId="617E650B">
        <w:tblPrEx>
          <w:tblCellMar>
            <w:top w:w="0" w:type="dxa"/>
            <w:left w:w="108" w:type="dxa"/>
            <w:bottom w:w="0" w:type="dxa"/>
            <w:right w:w="108" w:type="dxa"/>
          </w:tblCellMar>
        </w:tblPrEx>
        <w:trPr>
          <w:trHeight w:val="400" w:hRule="atLeast"/>
        </w:trPr>
        <w:tc>
          <w:tcPr>
            <w:tcW w:w="8460" w:type="dxa"/>
            <w:gridSpan w:val="4"/>
            <w:tcBorders>
              <w:top w:val="single" w:color="000000" w:sz="4" w:space="0"/>
              <w:left w:val="single" w:color="000000" w:sz="4" w:space="0"/>
              <w:bottom w:val="single" w:color="000000" w:sz="4" w:space="0"/>
              <w:right w:val="single" w:color="000000" w:sz="4" w:space="0"/>
            </w:tcBorders>
            <w:vAlign w:val="center"/>
          </w:tcPr>
          <w:p w14:paraId="5DAA1898">
            <w:pPr>
              <w:widowControl/>
              <w:jc w:val="left"/>
              <w:textAlignment w:val="center"/>
              <w:rPr>
                <w:rFonts w:hint="eastAsia" w:ascii="仿宋" w:hAnsi="仿宋" w:eastAsia="仿宋" w:cs="仿宋"/>
                <w:b/>
                <w:bCs/>
                <w:sz w:val="22"/>
                <w:szCs w:val="22"/>
              </w:rPr>
            </w:pPr>
            <w:r>
              <w:rPr>
                <w:rFonts w:hint="eastAsia" w:ascii="仿宋" w:hAnsi="仿宋" w:eastAsia="仿宋" w:cs="仿宋"/>
                <w:b/>
                <w:bCs/>
                <w:kern w:val="0"/>
                <w:sz w:val="22"/>
                <w:szCs w:val="22"/>
              </w:rPr>
              <w:t>⼀、固定价格部分</w:t>
            </w:r>
          </w:p>
        </w:tc>
      </w:tr>
      <w:tr w14:paraId="7FD73CEB">
        <w:tblPrEx>
          <w:tblCellMar>
            <w:top w:w="0" w:type="dxa"/>
            <w:left w:w="108" w:type="dxa"/>
            <w:bottom w:w="0" w:type="dxa"/>
            <w:right w:w="108" w:type="dxa"/>
          </w:tblCellMar>
        </w:tblPrEx>
        <w:trPr>
          <w:trHeight w:val="660" w:hRule="atLeast"/>
        </w:trPr>
        <w:tc>
          <w:tcPr>
            <w:tcW w:w="1965" w:type="dxa"/>
            <w:tcBorders>
              <w:top w:val="single" w:color="000000" w:sz="4" w:space="0"/>
              <w:left w:val="single" w:color="000000" w:sz="4" w:space="0"/>
              <w:bottom w:val="single" w:color="000000" w:sz="4" w:space="0"/>
              <w:right w:val="single" w:color="000000" w:sz="4" w:space="0"/>
            </w:tcBorders>
            <w:vAlign w:val="center"/>
          </w:tcPr>
          <w:p w14:paraId="48F7516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按实际用电量占比</w:t>
            </w:r>
          </w:p>
        </w:tc>
        <w:tc>
          <w:tcPr>
            <w:tcW w:w="2055" w:type="dxa"/>
            <w:tcBorders>
              <w:top w:val="single" w:color="000000" w:sz="4" w:space="0"/>
              <w:left w:val="single" w:color="000000" w:sz="4" w:space="0"/>
              <w:bottom w:val="single" w:color="000000" w:sz="4" w:space="0"/>
              <w:right w:val="single" w:color="000000" w:sz="4" w:space="0"/>
            </w:tcBorders>
            <w:vAlign w:val="center"/>
          </w:tcPr>
          <w:p w14:paraId="52FBBB28">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 xml:space="preserve">平段价格 </w:t>
            </w:r>
            <w:r>
              <w:rPr>
                <w:rFonts w:hint="eastAsia" w:ascii="仿宋" w:hAnsi="仿宋" w:eastAsia="仿宋" w:cs="仿宋"/>
                <w:kern w:val="0"/>
                <w:sz w:val="24"/>
                <w:szCs w:val="24"/>
              </w:rPr>
              <w:br w:type="textWrapping"/>
            </w:r>
            <w:r>
              <w:rPr>
                <w:rFonts w:hint="eastAsia" w:ascii="仿宋" w:hAnsi="仿宋" w:eastAsia="仿宋" w:cs="仿宋"/>
                <w:kern w:val="0"/>
                <w:sz w:val="24"/>
                <w:szCs w:val="24"/>
              </w:rPr>
              <w:t>（元/千瓦时）</w:t>
            </w:r>
          </w:p>
        </w:tc>
        <w:tc>
          <w:tcPr>
            <w:tcW w:w="2208" w:type="dxa"/>
            <w:tcBorders>
              <w:top w:val="single" w:color="000000" w:sz="4" w:space="0"/>
              <w:left w:val="single" w:color="000000" w:sz="4" w:space="0"/>
              <w:bottom w:val="single" w:color="000000" w:sz="4" w:space="0"/>
              <w:right w:val="single" w:color="000000" w:sz="4" w:space="0"/>
            </w:tcBorders>
            <w:vAlign w:val="center"/>
          </w:tcPr>
          <w:p w14:paraId="1E47D157">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峰段价格</w:t>
            </w:r>
          </w:p>
        </w:tc>
        <w:tc>
          <w:tcPr>
            <w:tcW w:w="2232" w:type="dxa"/>
            <w:tcBorders>
              <w:top w:val="single" w:color="000000" w:sz="4" w:space="0"/>
              <w:left w:val="single" w:color="000000" w:sz="4" w:space="0"/>
              <w:bottom w:val="single" w:color="000000" w:sz="4" w:space="0"/>
              <w:right w:val="single" w:color="000000" w:sz="4" w:space="0"/>
            </w:tcBorders>
            <w:vAlign w:val="center"/>
          </w:tcPr>
          <w:p w14:paraId="4436A7FC">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谷段价格</w:t>
            </w:r>
          </w:p>
        </w:tc>
      </w:tr>
      <w:tr w14:paraId="53916A10">
        <w:tblPrEx>
          <w:tblCellMar>
            <w:top w:w="0" w:type="dxa"/>
            <w:left w:w="108" w:type="dxa"/>
            <w:bottom w:w="0" w:type="dxa"/>
            <w:right w:w="108" w:type="dxa"/>
          </w:tblCellMar>
        </w:tblPrEx>
        <w:trPr>
          <w:trHeight w:val="400" w:hRule="atLeast"/>
        </w:trPr>
        <w:tc>
          <w:tcPr>
            <w:tcW w:w="1965" w:type="dxa"/>
            <w:tcBorders>
              <w:top w:val="single" w:color="000000" w:sz="4" w:space="0"/>
              <w:left w:val="single" w:color="000000" w:sz="4" w:space="0"/>
              <w:bottom w:val="single" w:color="000000" w:sz="4" w:space="0"/>
              <w:right w:val="single" w:color="000000" w:sz="4" w:space="0"/>
            </w:tcBorders>
            <w:vAlign w:val="center"/>
          </w:tcPr>
          <w:p w14:paraId="7F49036C">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90%</w:t>
            </w:r>
          </w:p>
        </w:tc>
        <w:tc>
          <w:tcPr>
            <w:tcW w:w="205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F153069">
            <w:pPr>
              <w:widowControl/>
              <w:jc w:val="center"/>
              <w:textAlignment w:val="center"/>
              <w:rPr>
                <w:rFonts w:hint="eastAsia" w:ascii="仿宋" w:hAnsi="仿宋" w:eastAsia="仿宋" w:cs="仿宋"/>
                <w:sz w:val="24"/>
                <w:szCs w:val="24"/>
              </w:rPr>
            </w:pPr>
          </w:p>
        </w:tc>
        <w:tc>
          <w:tcPr>
            <w:tcW w:w="2208" w:type="dxa"/>
            <w:tcBorders>
              <w:top w:val="single" w:color="000000" w:sz="4" w:space="0"/>
              <w:left w:val="single" w:color="000000" w:sz="4" w:space="0"/>
              <w:bottom w:val="single" w:color="000000" w:sz="4" w:space="0"/>
              <w:right w:val="single" w:color="000000" w:sz="4" w:space="0"/>
            </w:tcBorders>
            <w:vAlign w:val="center"/>
          </w:tcPr>
          <w:p w14:paraId="5AEEEE7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根据峰谷电价固定比例计算</w:t>
            </w:r>
          </w:p>
        </w:tc>
        <w:tc>
          <w:tcPr>
            <w:tcW w:w="2232" w:type="dxa"/>
            <w:tcBorders>
              <w:top w:val="single" w:color="000000" w:sz="4" w:space="0"/>
              <w:left w:val="single" w:color="000000" w:sz="4" w:space="0"/>
              <w:bottom w:val="single" w:color="000000" w:sz="4" w:space="0"/>
              <w:right w:val="single" w:color="000000" w:sz="4" w:space="0"/>
            </w:tcBorders>
            <w:vAlign w:val="center"/>
          </w:tcPr>
          <w:p w14:paraId="1B3ECED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根据峰谷电价固定比例计算</w:t>
            </w:r>
          </w:p>
        </w:tc>
      </w:tr>
      <w:tr w14:paraId="45186B91">
        <w:tblPrEx>
          <w:tblCellMar>
            <w:top w:w="0" w:type="dxa"/>
            <w:left w:w="108" w:type="dxa"/>
            <w:bottom w:w="0" w:type="dxa"/>
            <w:right w:w="108" w:type="dxa"/>
          </w:tblCellMar>
        </w:tblPrEx>
        <w:trPr>
          <w:trHeight w:val="400" w:hRule="atLeast"/>
        </w:trPr>
        <w:tc>
          <w:tcPr>
            <w:tcW w:w="8460" w:type="dxa"/>
            <w:gridSpan w:val="4"/>
            <w:tcBorders>
              <w:top w:val="single" w:color="000000" w:sz="4" w:space="0"/>
              <w:left w:val="single" w:color="000000" w:sz="4" w:space="0"/>
              <w:bottom w:val="single" w:color="000000" w:sz="4" w:space="0"/>
              <w:right w:val="single" w:color="000000" w:sz="4" w:space="0"/>
            </w:tcBorders>
            <w:vAlign w:val="center"/>
          </w:tcPr>
          <w:p w14:paraId="0C9ED9DB">
            <w:pPr>
              <w:widowControl/>
              <w:jc w:val="left"/>
              <w:textAlignment w:val="center"/>
              <w:rPr>
                <w:rFonts w:hint="eastAsia" w:ascii="仿宋" w:hAnsi="仿宋" w:eastAsia="仿宋" w:cs="仿宋"/>
                <w:b/>
                <w:bCs/>
                <w:sz w:val="22"/>
                <w:szCs w:val="22"/>
              </w:rPr>
            </w:pPr>
            <w:r>
              <w:rPr>
                <w:rFonts w:hint="eastAsia" w:ascii="仿宋" w:hAnsi="仿宋" w:eastAsia="仿宋" w:cs="仿宋"/>
                <w:b/>
                <w:bCs/>
                <w:kern w:val="0"/>
                <w:sz w:val="22"/>
                <w:szCs w:val="22"/>
              </w:rPr>
              <w:t>⼆、市场联动价格部分</w:t>
            </w:r>
          </w:p>
        </w:tc>
      </w:tr>
      <w:tr w14:paraId="5B2A5539">
        <w:tblPrEx>
          <w:tblCellMar>
            <w:top w:w="0" w:type="dxa"/>
            <w:left w:w="108" w:type="dxa"/>
            <w:bottom w:w="0" w:type="dxa"/>
            <w:right w:w="108" w:type="dxa"/>
          </w:tblCellMar>
        </w:tblPrEx>
        <w:trPr>
          <w:trHeight w:val="400" w:hRule="atLeast"/>
        </w:trPr>
        <w:tc>
          <w:tcPr>
            <w:tcW w:w="4020" w:type="dxa"/>
            <w:gridSpan w:val="2"/>
            <w:tcBorders>
              <w:top w:val="single" w:color="000000" w:sz="4" w:space="0"/>
              <w:left w:val="single" w:color="000000" w:sz="4" w:space="0"/>
              <w:bottom w:val="single" w:color="000000" w:sz="4" w:space="0"/>
              <w:right w:val="single" w:color="000000" w:sz="4" w:space="0"/>
            </w:tcBorders>
            <w:vAlign w:val="center"/>
          </w:tcPr>
          <w:p w14:paraId="54E37EA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按实际用电量占比</w:t>
            </w:r>
          </w:p>
        </w:tc>
        <w:tc>
          <w:tcPr>
            <w:tcW w:w="4440" w:type="dxa"/>
            <w:gridSpan w:val="2"/>
            <w:tcBorders>
              <w:top w:val="single" w:color="000000" w:sz="4" w:space="0"/>
              <w:left w:val="single" w:color="000000" w:sz="4" w:space="0"/>
              <w:bottom w:val="single" w:color="000000" w:sz="4" w:space="0"/>
              <w:right w:val="single" w:color="000000" w:sz="4" w:space="0"/>
            </w:tcBorders>
            <w:vAlign w:val="center"/>
          </w:tcPr>
          <w:p w14:paraId="367FAD5B">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市场联动价格类型（平段）</w:t>
            </w:r>
          </w:p>
        </w:tc>
      </w:tr>
      <w:tr w14:paraId="27FFC746">
        <w:tblPrEx>
          <w:tblCellMar>
            <w:top w:w="0" w:type="dxa"/>
            <w:left w:w="108" w:type="dxa"/>
            <w:bottom w:w="0" w:type="dxa"/>
            <w:right w:w="108" w:type="dxa"/>
          </w:tblCellMar>
        </w:tblPrEx>
        <w:trPr>
          <w:trHeight w:val="400" w:hRule="atLeast"/>
        </w:trPr>
        <w:tc>
          <w:tcPr>
            <w:tcW w:w="4020" w:type="dxa"/>
            <w:gridSpan w:val="2"/>
            <w:tcBorders>
              <w:top w:val="single" w:color="000000" w:sz="4" w:space="0"/>
              <w:left w:val="single" w:color="000000" w:sz="4" w:space="0"/>
              <w:bottom w:val="single" w:color="000000" w:sz="4" w:space="0"/>
              <w:right w:val="single" w:color="000000" w:sz="4" w:space="0"/>
            </w:tcBorders>
            <w:vAlign w:val="center"/>
          </w:tcPr>
          <w:p w14:paraId="02144B65">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10%</w:t>
            </w:r>
          </w:p>
        </w:tc>
        <w:tc>
          <w:tcPr>
            <w:tcW w:w="4440" w:type="dxa"/>
            <w:gridSpan w:val="2"/>
            <w:tcBorders>
              <w:top w:val="single" w:color="000000" w:sz="4" w:space="0"/>
              <w:left w:val="single" w:color="000000" w:sz="4" w:space="0"/>
              <w:bottom w:val="single" w:color="000000" w:sz="4" w:space="0"/>
              <w:right w:val="single" w:color="000000" w:sz="4" w:space="0"/>
            </w:tcBorders>
            <w:vAlign w:val="center"/>
          </w:tcPr>
          <w:p w14:paraId="5F9D1371">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月度中长期交易综合价（含分摊）</w:t>
            </w:r>
          </w:p>
        </w:tc>
      </w:tr>
      <w:tr w14:paraId="1AD08113">
        <w:tblPrEx>
          <w:tblCellMar>
            <w:top w:w="0" w:type="dxa"/>
            <w:left w:w="108" w:type="dxa"/>
            <w:bottom w:w="0" w:type="dxa"/>
            <w:right w:w="108" w:type="dxa"/>
          </w:tblCellMar>
        </w:tblPrEx>
        <w:trPr>
          <w:trHeight w:val="500" w:hRule="atLeast"/>
        </w:trPr>
        <w:tc>
          <w:tcPr>
            <w:tcW w:w="8460" w:type="dxa"/>
            <w:gridSpan w:val="4"/>
            <w:tcBorders>
              <w:top w:val="single" w:color="000000" w:sz="4" w:space="0"/>
              <w:left w:val="single" w:color="000000" w:sz="4" w:space="0"/>
              <w:bottom w:val="single" w:color="000000" w:sz="4" w:space="0"/>
              <w:right w:val="single" w:color="000000" w:sz="4" w:space="0"/>
            </w:tcBorders>
            <w:vAlign w:val="center"/>
          </w:tcPr>
          <w:p w14:paraId="1A8C7E28">
            <w:pPr>
              <w:widowControl/>
              <w:jc w:val="left"/>
              <w:textAlignment w:val="center"/>
              <w:rPr>
                <w:rFonts w:hint="eastAsia" w:ascii="仿宋" w:hAnsi="仿宋" w:eastAsia="仿宋" w:cs="仿宋"/>
                <w:b/>
                <w:bCs/>
                <w:sz w:val="22"/>
                <w:szCs w:val="22"/>
              </w:rPr>
            </w:pPr>
            <w:r>
              <w:rPr>
                <w:rFonts w:hint="eastAsia" w:ascii="仿宋" w:hAnsi="仿宋" w:eastAsia="仿宋" w:cs="仿宋"/>
                <w:b/>
                <w:bCs/>
                <w:kern w:val="0"/>
                <w:sz w:val="22"/>
                <w:szCs w:val="22"/>
              </w:rPr>
              <w:t>四、备注</w:t>
            </w:r>
          </w:p>
        </w:tc>
      </w:tr>
      <w:tr w14:paraId="3814E20E">
        <w:tblPrEx>
          <w:tblCellMar>
            <w:top w:w="0" w:type="dxa"/>
            <w:left w:w="108" w:type="dxa"/>
            <w:bottom w:w="0" w:type="dxa"/>
            <w:right w:w="108" w:type="dxa"/>
          </w:tblCellMar>
        </w:tblPrEx>
        <w:trPr>
          <w:trHeight w:val="1940" w:hRule="atLeast"/>
        </w:trPr>
        <w:tc>
          <w:tcPr>
            <w:tcW w:w="8460" w:type="dxa"/>
            <w:gridSpan w:val="4"/>
            <w:tcBorders>
              <w:top w:val="single" w:color="000000" w:sz="4" w:space="0"/>
              <w:left w:val="single" w:color="000000" w:sz="4" w:space="0"/>
              <w:bottom w:val="single" w:color="000000" w:sz="4" w:space="0"/>
              <w:right w:val="single" w:color="000000" w:sz="4" w:space="0"/>
            </w:tcBorders>
          </w:tcPr>
          <w:p w14:paraId="4BF486C0">
            <w:pPr>
              <w:widowControl/>
              <w:jc w:val="left"/>
              <w:textAlignment w:val="top"/>
              <w:rPr>
                <w:rFonts w:hint="eastAsia" w:ascii="仿宋" w:hAnsi="仿宋" w:eastAsia="仿宋" w:cs="仿宋"/>
                <w:sz w:val="24"/>
                <w:szCs w:val="24"/>
              </w:rPr>
            </w:pPr>
            <w:r>
              <w:rPr>
                <w:rFonts w:hint="eastAsia" w:ascii="仿宋" w:hAnsi="仿宋" w:eastAsia="仿宋" w:cs="仿宋"/>
                <w:sz w:val="24"/>
                <w:szCs w:val="24"/>
              </w:rPr>
              <w:t>说明：</w:t>
            </w:r>
            <w:r>
              <w:rPr>
                <w:rFonts w:hint="eastAsia" w:ascii="仿宋" w:hAnsi="仿宋" w:eastAsia="仿宋" w:cs="仿宋"/>
                <w:sz w:val="24"/>
                <w:szCs w:val="24"/>
              </w:rPr>
              <w:br w:type="textWrapping"/>
            </w:r>
            <w:r>
              <w:rPr>
                <w:rFonts w:hint="eastAsia" w:ascii="仿宋" w:hAnsi="仿宋" w:eastAsia="仿宋" w:cs="仿宋"/>
                <w:sz w:val="24"/>
                <w:szCs w:val="24"/>
              </w:rPr>
              <w:t>1.以上价格均为含税价。</w:t>
            </w:r>
            <w:r>
              <w:rPr>
                <w:rFonts w:hint="eastAsia" w:ascii="仿宋" w:hAnsi="仿宋" w:eastAsia="仿宋" w:cs="仿宋"/>
                <w:sz w:val="24"/>
                <w:szCs w:val="24"/>
              </w:rPr>
              <w:br w:type="textWrapping"/>
            </w:r>
            <w:r>
              <w:rPr>
                <w:rFonts w:hint="eastAsia" w:ascii="仿宋" w:hAnsi="仿宋" w:eastAsia="仿宋" w:cs="仿宋"/>
                <w:sz w:val="24"/>
                <w:szCs w:val="24"/>
              </w:rPr>
              <w:t>2.报价请直接在黄色底色表格内补充。</w:t>
            </w:r>
            <w:r>
              <w:rPr>
                <w:rFonts w:hint="eastAsia" w:ascii="仿宋" w:hAnsi="仿宋" w:eastAsia="仿宋" w:cs="仿宋"/>
                <w:sz w:val="24"/>
                <w:szCs w:val="24"/>
              </w:rPr>
              <w:br w:type="textWrapping"/>
            </w:r>
            <w:r>
              <w:rPr>
                <w:rFonts w:hint="eastAsia" w:ascii="仿宋" w:hAnsi="仿宋" w:eastAsia="仿宋" w:cs="仿宋"/>
                <w:sz w:val="24"/>
                <w:szCs w:val="24"/>
              </w:rPr>
              <w:t>3.合作期：2026年1月1日-2026年12月31日。</w:t>
            </w:r>
          </w:p>
          <w:p w14:paraId="7EE24D36">
            <w:pPr>
              <w:widowControl/>
              <w:jc w:val="left"/>
              <w:textAlignment w:val="top"/>
              <w:rPr>
                <w:rFonts w:hint="eastAsia" w:ascii="仿宋" w:hAnsi="仿宋" w:eastAsia="仿宋" w:cs="仿宋"/>
                <w:sz w:val="24"/>
                <w:szCs w:val="24"/>
              </w:rPr>
            </w:pPr>
            <w:r>
              <w:rPr>
                <w:rFonts w:hint="eastAsia" w:ascii="仿宋" w:hAnsi="仿宋" w:eastAsia="仿宋" w:cs="仿宋"/>
                <w:sz w:val="24"/>
                <w:szCs w:val="24"/>
              </w:rPr>
              <w:t>4.此表应按报价须知的规定密封、签署和盖章。</w:t>
            </w:r>
          </w:p>
          <w:p w14:paraId="4AB90C2C">
            <w:pPr>
              <w:widowControl/>
              <w:jc w:val="left"/>
              <w:textAlignment w:val="top"/>
              <w:rPr>
                <w:rFonts w:hint="eastAsia" w:ascii="仿宋" w:hAnsi="仿宋" w:eastAsia="仿宋" w:cs="仿宋"/>
                <w:sz w:val="24"/>
                <w:szCs w:val="24"/>
              </w:rPr>
            </w:pPr>
            <w:r>
              <w:rPr>
                <w:rFonts w:hint="eastAsia" w:ascii="仿宋" w:hAnsi="仿宋" w:eastAsia="仿宋" w:cs="仿宋"/>
                <w:sz w:val="24"/>
                <w:szCs w:val="24"/>
              </w:rPr>
              <w:t>5.本项目报价，固定电能量价格（平段价格）不得低于0.372元/千瓦时且不得高于0.428元/千瓦时，否则按废标处理；市场联动部分采用月度中长期交易综合价（含分摊）参与交易，无需投标单位报价。</w:t>
            </w:r>
          </w:p>
        </w:tc>
      </w:tr>
    </w:tbl>
    <w:p w14:paraId="14310669">
      <w:pPr>
        <w:jc w:val="left"/>
        <w:rPr>
          <w:rFonts w:hint="eastAsia" w:ascii="仿宋" w:hAnsi="仿宋" w:eastAsia="仿宋" w:cs="仿宋"/>
          <w:sz w:val="24"/>
          <w:szCs w:val="24"/>
        </w:rPr>
      </w:pPr>
    </w:p>
    <w:p w14:paraId="37CF9D06">
      <w:pPr>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32C7AF78">
      <w:pPr>
        <w:jc w:val="left"/>
        <w:rPr>
          <w:rFonts w:hint="eastAsia" w:ascii="仿宋" w:hAnsi="仿宋" w:eastAsia="仿宋" w:cs="仿宋"/>
          <w:sz w:val="24"/>
          <w:szCs w:val="24"/>
        </w:rPr>
      </w:pPr>
    </w:p>
    <w:p w14:paraId="31A36297">
      <w:pPr>
        <w:jc w:val="left"/>
        <w:rPr>
          <w:rFonts w:hint="eastAsia" w:ascii="仿宋" w:hAnsi="仿宋" w:eastAsia="仿宋" w:cs="仿宋"/>
          <w:sz w:val="24"/>
          <w:szCs w:val="24"/>
        </w:rPr>
      </w:pPr>
      <w:r>
        <w:rPr>
          <w:rFonts w:hint="eastAsia" w:ascii="仿宋" w:hAnsi="仿宋" w:eastAsia="仿宋" w:cs="仿宋"/>
          <w:sz w:val="24"/>
          <w:szCs w:val="24"/>
        </w:rPr>
        <w:t>法定代表人（签名或盖章）：</w:t>
      </w:r>
    </w:p>
    <w:p w14:paraId="640A0615">
      <w:pPr>
        <w:jc w:val="left"/>
        <w:rPr>
          <w:rFonts w:hint="eastAsia" w:ascii="仿宋" w:hAnsi="仿宋" w:eastAsia="仿宋" w:cs="仿宋"/>
          <w:sz w:val="24"/>
          <w:szCs w:val="24"/>
        </w:rPr>
      </w:pPr>
    </w:p>
    <w:p w14:paraId="6F983B8D">
      <w:pPr>
        <w:jc w:val="left"/>
        <w:rPr>
          <w:rFonts w:hint="eastAsia" w:ascii="仿宋" w:hAnsi="仿宋" w:eastAsia="仿宋" w:cs="仿宋"/>
          <w:sz w:val="24"/>
          <w:szCs w:val="24"/>
        </w:rPr>
      </w:pPr>
      <w:r>
        <w:rPr>
          <w:rFonts w:hint="eastAsia" w:ascii="仿宋" w:hAnsi="仿宋" w:eastAsia="仿宋" w:cs="仿宋"/>
          <w:sz w:val="24"/>
          <w:szCs w:val="24"/>
        </w:rPr>
        <w:t>联系人：</w:t>
      </w:r>
    </w:p>
    <w:p w14:paraId="3E318DF4">
      <w:pPr>
        <w:jc w:val="left"/>
        <w:rPr>
          <w:rFonts w:hint="eastAsia" w:ascii="仿宋" w:hAnsi="仿宋" w:eastAsia="仿宋" w:cs="仿宋"/>
          <w:sz w:val="24"/>
          <w:szCs w:val="24"/>
        </w:rPr>
      </w:pPr>
    </w:p>
    <w:p w14:paraId="0E1F9BB1">
      <w:pPr>
        <w:jc w:val="left"/>
        <w:rPr>
          <w:rFonts w:hint="eastAsia" w:ascii="仿宋" w:hAnsi="仿宋" w:eastAsia="仿宋" w:cs="仿宋"/>
          <w:sz w:val="24"/>
          <w:szCs w:val="24"/>
        </w:rPr>
      </w:pPr>
      <w:r>
        <w:rPr>
          <w:rFonts w:hint="eastAsia" w:ascii="仿宋" w:hAnsi="仿宋" w:eastAsia="仿宋" w:cs="仿宋"/>
          <w:sz w:val="24"/>
          <w:szCs w:val="24"/>
        </w:rPr>
        <w:t>联系电话：</w:t>
      </w:r>
    </w:p>
    <w:p w14:paraId="6DA484CE">
      <w:pPr>
        <w:jc w:val="left"/>
        <w:rPr>
          <w:rFonts w:hint="eastAsia" w:ascii="仿宋" w:hAnsi="仿宋" w:eastAsia="仿宋" w:cs="仿宋"/>
          <w:sz w:val="24"/>
          <w:szCs w:val="24"/>
        </w:rPr>
      </w:pPr>
    </w:p>
    <w:p w14:paraId="5B87B2D1">
      <w:pPr>
        <w:jc w:val="left"/>
        <w:rPr>
          <w:rFonts w:hint="eastAsia" w:ascii="仿宋" w:hAnsi="仿宋" w:eastAsia="仿宋" w:cs="仿宋"/>
          <w:sz w:val="24"/>
          <w:szCs w:val="24"/>
        </w:rPr>
      </w:pPr>
      <w:r>
        <w:rPr>
          <w:rFonts w:hint="eastAsia" w:ascii="仿宋" w:hAnsi="仿宋" w:eastAsia="仿宋" w:cs="仿宋"/>
          <w:sz w:val="24"/>
          <w:szCs w:val="24"/>
        </w:rPr>
        <w:t>日期：</w:t>
      </w:r>
    </w:p>
    <w:p w14:paraId="7FE3EFFC">
      <w:pPr>
        <w:rPr>
          <w:rFonts w:hint="eastAsia" w:ascii="仿宋" w:hAnsi="仿宋" w:eastAsia="仿宋" w:cs="仿宋"/>
          <w:sz w:val="24"/>
          <w:szCs w:val="24"/>
        </w:rPr>
      </w:pPr>
      <w:r>
        <w:rPr>
          <w:rFonts w:hint="eastAsia" w:ascii="仿宋" w:hAnsi="仿宋" w:eastAsia="仿宋" w:cs="仿宋"/>
          <w:sz w:val="24"/>
          <w:szCs w:val="24"/>
        </w:rPr>
        <w:br w:type="page"/>
      </w:r>
    </w:p>
    <w:p w14:paraId="667AA49C">
      <w:pPr>
        <w:jc w:val="left"/>
        <w:rPr>
          <w:rFonts w:hint="eastAsia" w:ascii="仿宋" w:hAnsi="仿宋" w:eastAsia="仿宋" w:cs="仿宋"/>
          <w:b/>
          <w:bCs/>
          <w:sz w:val="24"/>
          <w:szCs w:val="24"/>
        </w:rPr>
      </w:pPr>
      <w:r>
        <w:rPr>
          <w:rFonts w:hint="eastAsia" w:ascii="仿宋" w:hAnsi="仿宋" w:eastAsia="仿宋" w:cs="仿宋"/>
          <w:b/>
          <w:bCs/>
          <w:sz w:val="24"/>
          <w:szCs w:val="24"/>
        </w:rPr>
        <w:t>附件三  法人证明</w:t>
      </w:r>
    </w:p>
    <w:p w14:paraId="0A09DD80">
      <w:pPr>
        <w:pStyle w:val="43"/>
        <w:ind w:firstLine="0" w:firstLineChars="0"/>
        <w:jc w:val="left"/>
        <w:rPr>
          <w:rFonts w:hint="eastAsia" w:ascii="仿宋" w:hAnsi="仿宋" w:eastAsia="仿宋" w:cs="仿宋"/>
          <w:sz w:val="24"/>
          <w:szCs w:val="24"/>
        </w:rPr>
      </w:pPr>
    </w:p>
    <w:p w14:paraId="37832F66">
      <w:pPr>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法定代表人身份证明书及法定代表人身份证复印件</w:t>
      </w:r>
    </w:p>
    <w:p w14:paraId="3EBE22DD">
      <w:pPr>
        <w:rPr>
          <w:rFonts w:hint="eastAsia" w:ascii="仿宋" w:hAnsi="仿宋" w:eastAsia="仿宋" w:cs="仿宋"/>
          <w:sz w:val="24"/>
          <w:szCs w:val="24"/>
        </w:rPr>
      </w:pPr>
    </w:p>
    <w:p w14:paraId="1F4C44B7">
      <w:pPr>
        <w:rPr>
          <w:rFonts w:hint="eastAsia" w:ascii="仿宋" w:hAnsi="仿宋" w:eastAsia="仿宋" w:cs="仿宋"/>
          <w:sz w:val="24"/>
          <w:szCs w:val="24"/>
        </w:rPr>
      </w:pPr>
      <w:r>
        <w:rPr>
          <w:rFonts w:hint="eastAsia" w:ascii="仿宋" w:hAnsi="仿宋" w:eastAsia="仿宋" w:cs="仿宋"/>
          <w:sz w:val="24"/>
          <w:szCs w:val="24"/>
          <w:u w:val="single"/>
        </w:rPr>
        <w:t>东莞市城市工程建设集团有限公司</w:t>
      </w:r>
      <w:r>
        <w:rPr>
          <w:rFonts w:hint="eastAsia" w:ascii="仿宋" w:hAnsi="仿宋" w:eastAsia="仿宋" w:cs="仿宋"/>
          <w:sz w:val="24"/>
          <w:szCs w:val="24"/>
        </w:rPr>
        <w:t>：</w:t>
      </w:r>
    </w:p>
    <w:p w14:paraId="4BF4DE72">
      <w:pPr>
        <w:pStyle w:val="42"/>
        <w:ind w:firstLine="494"/>
        <w:rPr>
          <w:rFonts w:hint="eastAsia" w:ascii="仿宋" w:hAnsi="仿宋" w:eastAsia="仿宋" w:cs="仿宋"/>
          <w:sz w:val="24"/>
          <w:szCs w:val="24"/>
        </w:rPr>
      </w:pPr>
      <w:r>
        <w:rPr>
          <w:rFonts w:hint="eastAsia" w:ascii="仿宋" w:hAnsi="仿宋" w:eastAsia="仿宋" w:cs="仿宋"/>
          <w:sz w:val="24"/>
          <w:szCs w:val="24"/>
        </w:rPr>
        <w:t>本证明书声明：注册于（国家名称）的</w:t>
      </w:r>
      <w:r>
        <w:rPr>
          <w:rFonts w:hint="eastAsia" w:ascii="仿宋" w:hAnsi="仿宋" w:eastAsia="仿宋" w:cs="仿宋"/>
          <w:sz w:val="24"/>
          <w:szCs w:val="24"/>
          <w:u w:val="single"/>
        </w:rPr>
        <w:t>　　</w:t>
      </w:r>
      <w:r>
        <w:rPr>
          <w:rFonts w:hint="eastAsia" w:ascii="仿宋" w:hAnsi="仿宋" w:eastAsia="仿宋" w:cs="仿宋"/>
          <w:sz w:val="24"/>
          <w:szCs w:val="24"/>
        </w:rPr>
        <w:t>（响应人名称）在下面签字的</w:t>
      </w:r>
      <w:r>
        <w:rPr>
          <w:rFonts w:hint="eastAsia" w:ascii="仿宋" w:hAnsi="仿宋" w:eastAsia="仿宋" w:cs="仿宋"/>
          <w:sz w:val="24"/>
          <w:szCs w:val="24"/>
          <w:u w:val="single"/>
        </w:rPr>
        <w:t>　　　　　</w:t>
      </w:r>
      <w:r>
        <w:rPr>
          <w:rFonts w:hint="eastAsia" w:ascii="仿宋" w:hAnsi="仿宋" w:eastAsia="仿宋" w:cs="仿宋"/>
          <w:sz w:val="24"/>
          <w:szCs w:val="24"/>
        </w:rPr>
        <w:t>（法定代表人姓名、职务）为本公司的合法代表人（</w:t>
      </w:r>
      <w:r>
        <w:rPr>
          <w:rFonts w:hint="eastAsia" w:ascii="仿宋" w:hAnsi="仿宋" w:eastAsia="仿宋" w:cs="仿宋"/>
          <w:b/>
          <w:bCs/>
          <w:sz w:val="24"/>
          <w:szCs w:val="24"/>
        </w:rPr>
        <w:t>须附法定代表人身份证复印件</w:t>
      </w:r>
      <w:r>
        <w:rPr>
          <w:rFonts w:hint="eastAsia" w:ascii="仿宋" w:hAnsi="仿宋" w:eastAsia="仿宋" w:cs="仿宋"/>
          <w:sz w:val="24"/>
          <w:szCs w:val="24"/>
        </w:rPr>
        <w:t>）。</w:t>
      </w:r>
    </w:p>
    <w:p w14:paraId="0C069D93">
      <w:pPr>
        <w:spacing w:line="600" w:lineRule="exact"/>
        <w:ind w:firstLine="360" w:firstLineChars="150"/>
        <w:rPr>
          <w:rFonts w:hint="eastAsia" w:ascii="仿宋" w:hAnsi="仿宋" w:eastAsia="仿宋" w:cs="仿宋"/>
          <w:sz w:val="24"/>
          <w:szCs w:val="24"/>
        </w:rPr>
      </w:pPr>
      <w:r>
        <w:rPr>
          <w:rFonts w:hint="eastAsia" w:ascii="仿宋" w:hAnsi="仿宋" w:eastAsia="仿宋" w:cs="仿宋"/>
          <w:sz w:val="24"/>
          <w:szCs w:val="24"/>
        </w:rPr>
        <w:t>特此证明</w:t>
      </w:r>
    </w:p>
    <w:p w14:paraId="74D7C1ED">
      <w:pPr>
        <w:spacing w:line="600" w:lineRule="exact"/>
        <w:rPr>
          <w:rFonts w:hint="eastAsia" w:ascii="仿宋" w:hAnsi="仿宋" w:eastAsia="仿宋" w:cs="仿宋"/>
          <w:sz w:val="24"/>
          <w:szCs w:val="24"/>
        </w:rPr>
      </w:pPr>
    </w:p>
    <w:p w14:paraId="1437A3C7">
      <w:pPr>
        <w:spacing w:line="600" w:lineRule="exact"/>
        <w:rPr>
          <w:rFonts w:hint="eastAsia" w:ascii="仿宋" w:hAnsi="仿宋" w:eastAsia="仿宋" w:cs="仿宋"/>
          <w:sz w:val="24"/>
          <w:szCs w:val="24"/>
        </w:rPr>
      </w:pPr>
    </w:p>
    <w:p w14:paraId="3592B461">
      <w:pPr>
        <w:spacing w:line="600" w:lineRule="exact"/>
        <w:rPr>
          <w:rFonts w:hint="eastAsia" w:ascii="仿宋" w:hAnsi="仿宋" w:eastAsia="仿宋" w:cs="仿宋"/>
          <w:sz w:val="24"/>
          <w:szCs w:val="24"/>
        </w:rPr>
      </w:pPr>
    </w:p>
    <w:p w14:paraId="581EB1B9">
      <w:pPr>
        <w:spacing w:line="600" w:lineRule="exact"/>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2C94E0CC">
      <w:pPr>
        <w:spacing w:line="600" w:lineRule="exact"/>
        <w:jc w:val="left"/>
        <w:rPr>
          <w:rFonts w:hint="eastAsia" w:ascii="仿宋" w:hAnsi="仿宋" w:eastAsia="仿宋" w:cs="仿宋"/>
          <w:sz w:val="24"/>
          <w:szCs w:val="24"/>
        </w:rPr>
      </w:pPr>
      <w:r>
        <w:rPr>
          <w:rFonts w:hint="eastAsia" w:ascii="仿宋" w:hAnsi="仿宋" w:eastAsia="仿宋" w:cs="仿宋"/>
          <w:sz w:val="24"/>
          <w:szCs w:val="24"/>
        </w:rPr>
        <w:t>响应人地址：</w:t>
      </w:r>
    </w:p>
    <w:p w14:paraId="6680BCBC">
      <w:pPr>
        <w:spacing w:line="600" w:lineRule="exact"/>
        <w:jc w:val="left"/>
        <w:rPr>
          <w:rFonts w:hint="eastAsia" w:ascii="仿宋" w:hAnsi="仿宋" w:eastAsia="仿宋" w:cs="仿宋"/>
          <w:sz w:val="24"/>
          <w:szCs w:val="24"/>
        </w:rPr>
      </w:pPr>
      <w:r>
        <w:rPr>
          <w:rFonts w:hint="eastAsia" w:ascii="仿宋" w:hAnsi="仿宋" w:eastAsia="仿宋" w:cs="仿宋"/>
          <w:sz w:val="24"/>
          <w:szCs w:val="24"/>
        </w:rPr>
        <w:t>法定代表人（签名或盖私章）：</w:t>
      </w:r>
    </w:p>
    <w:p w14:paraId="73D57533">
      <w:pPr>
        <w:spacing w:line="600" w:lineRule="exact"/>
        <w:jc w:val="left"/>
        <w:rPr>
          <w:rFonts w:hint="eastAsia" w:ascii="仿宋" w:hAnsi="仿宋" w:eastAsia="仿宋" w:cs="仿宋"/>
          <w:sz w:val="24"/>
          <w:szCs w:val="24"/>
        </w:rPr>
      </w:pPr>
      <w:r>
        <w:rPr>
          <w:rFonts w:hint="eastAsia" w:ascii="仿宋" w:hAnsi="仿宋" w:eastAsia="仿宋" w:cs="仿宋"/>
          <w:sz w:val="24"/>
          <w:szCs w:val="24"/>
        </w:rPr>
        <w:t>职务：</w:t>
      </w:r>
    </w:p>
    <w:p w14:paraId="5EFE1DDC">
      <w:pPr>
        <w:rPr>
          <w:rFonts w:hint="eastAsia" w:ascii="仿宋" w:hAnsi="仿宋" w:eastAsia="仿宋" w:cs="仿宋"/>
          <w:sz w:val="24"/>
          <w:szCs w:val="24"/>
        </w:rPr>
      </w:pPr>
    </w:p>
    <w:p w14:paraId="55CC7655">
      <w:pPr>
        <w:widowControl/>
        <w:jc w:val="center"/>
        <w:rPr>
          <w:rFonts w:hint="eastAsia" w:ascii="仿宋" w:hAnsi="仿宋" w:eastAsia="仿宋" w:cs="仿宋"/>
          <w:sz w:val="24"/>
          <w:szCs w:val="24"/>
        </w:rPr>
      </w:pPr>
      <w:r>
        <w:rPr>
          <w:rFonts w:hint="eastAsia" w:ascii="仿宋" w:hAnsi="仿宋" w:eastAsia="仿宋" w:cs="仿宋"/>
          <w:sz w:val="24"/>
          <w:szCs w:val="24"/>
        </w:rPr>
        <w:br w:type="page"/>
      </w:r>
      <w:bookmarkStart w:id="2" w:name="_Toc384752807"/>
    </w:p>
    <w:p w14:paraId="1FE48CEC">
      <w:pPr>
        <w:pStyle w:val="43"/>
        <w:ind w:firstLine="0" w:firstLineChars="0"/>
        <w:jc w:val="left"/>
        <w:outlineLvl w:val="1"/>
        <w:rPr>
          <w:rFonts w:hint="eastAsia" w:ascii="仿宋" w:hAnsi="仿宋" w:eastAsia="仿宋" w:cs="仿宋"/>
          <w:sz w:val="24"/>
          <w:szCs w:val="24"/>
        </w:rPr>
      </w:pPr>
      <w:bookmarkStart w:id="3" w:name="_Hlk40704362"/>
      <w:r>
        <w:rPr>
          <w:rFonts w:hint="eastAsia" w:ascii="仿宋" w:hAnsi="仿宋" w:eastAsia="仿宋" w:cs="仿宋"/>
          <w:sz w:val="24"/>
          <w:szCs w:val="24"/>
        </w:rPr>
        <w:t>附件四法人授权书</w:t>
      </w:r>
    </w:p>
    <w:p w14:paraId="1DFEFEBF">
      <w:pPr>
        <w:widowControl/>
        <w:jc w:val="center"/>
        <w:rPr>
          <w:rFonts w:hint="eastAsia" w:ascii="仿宋" w:hAnsi="仿宋" w:eastAsia="仿宋" w:cs="仿宋"/>
          <w:b/>
          <w:sz w:val="24"/>
          <w:szCs w:val="24"/>
        </w:rPr>
      </w:pPr>
    </w:p>
    <w:p w14:paraId="5A7FA407">
      <w:pPr>
        <w:widowControl/>
        <w:jc w:val="center"/>
        <w:rPr>
          <w:rFonts w:hint="eastAsia" w:ascii="仿宋" w:hAnsi="仿宋" w:eastAsia="仿宋" w:cs="仿宋"/>
          <w:sz w:val="24"/>
          <w:szCs w:val="24"/>
        </w:rPr>
      </w:pPr>
      <w:r>
        <w:rPr>
          <w:rFonts w:hint="eastAsia" w:ascii="仿宋" w:hAnsi="仿宋" w:eastAsia="仿宋" w:cs="仿宋"/>
          <w:b/>
          <w:sz w:val="24"/>
          <w:szCs w:val="24"/>
        </w:rPr>
        <w:t>授权委托书</w:t>
      </w:r>
      <w:bookmarkEnd w:id="2"/>
    </w:p>
    <w:p w14:paraId="6DC474AF">
      <w:pPr>
        <w:pStyle w:val="42"/>
        <w:ind w:firstLine="0" w:firstLineChars="0"/>
        <w:rPr>
          <w:rFonts w:hint="eastAsia" w:ascii="仿宋" w:hAnsi="仿宋" w:eastAsia="仿宋" w:cs="仿宋"/>
          <w:sz w:val="24"/>
          <w:szCs w:val="24"/>
        </w:rPr>
      </w:pPr>
    </w:p>
    <w:p w14:paraId="24BD5D1B">
      <w:pPr>
        <w:rPr>
          <w:rFonts w:hint="eastAsia" w:ascii="仿宋" w:hAnsi="仿宋" w:eastAsia="仿宋" w:cs="仿宋"/>
          <w:sz w:val="24"/>
          <w:szCs w:val="24"/>
        </w:rPr>
      </w:pPr>
      <w:r>
        <w:rPr>
          <w:rFonts w:hint="eastAsia" w:ascii="仿宋" w:hAnsi="仿宋" w:eastAsia="仿宋" w:cs="仿宋"/>
          <w:sz w:val="24"/>
          <w:szCs w:val="24"/>
          <w:u w:val="single"/>
        </w:rPr>
        <w:t>东莞市城市工程建设集团有限公司</w:t>
      </w:r>
      <w:r>
        <w:rPr>
          <w:rFonts w:hint="eastAsia" w:ascii="仿宋" w:hAnsi="仿宋" w:eastAsia="仿宋" w:cs="仿宋"/>
          <w:sz w:val="24"/>
          <w:szCs w:val="24"/>
        </w:rPr>
        <w:t>：</w:t>
      </w:r>
    </w:p>
    <w:p w14:paraId="0FA98E48">
      <w:pPr>
        <w:pStyle w:val="42"/>
        <w:ind w:firstLine="494"/>
        <w:rPr>
          <w:rFonts w:hint="eastAsia" w:ascii="仿宋" w:hAnsi="仿宋" w:eastAsia="仿宋" w:cs="仿宋"/>
          <w:sz w:val="24"/>
          <w:szCs w:val="24"/>
        </w:rPr>
      </w:pPr>
      <w:r>
        <w:rPr>
          <w:rFonts w:hint="eastAsia" w:ascii="仿宋" w:hAnsi="仿宋" w:eastAsia="仿宋" w:cs="仿宋"/>
          <w:sz w:val="24"/>
          <w:szCs w:val="24"/>
        </w:rPr>
        <w:t>本委托书声明：在下面签字的</w:t>
      </w:r>
      <w:r>
        <w:rPr>
          <w:rFonts w:hint="eastAsia" w:ascii="仿宋" w:hAnsi="仿宋" w:eastAsia="仿宋" w:cs="仿宋"/>
          <w:sz w:val="24"/>
          <w:szCs w:val="24"/>
          <w:u w:val="single"/>
        </w:rPr>
        <w:t>（填写法定代表人姓名、职务）</w:t>
      </w:r>
      <w:r>
        <w:rPr>
          <w:rFonts w:hint="eastAsia" w:ascii="仿宋" w:hAnsi="仿宋" w:eastAsia="仿宋" w:cs="仿宋"/>
          <w:sz w:val="24"/>
          <w:szCs w:val="24"/>
        </w:rPr>
        <w:t>代表</w:t>
      </w:r>
      <w:r>
        <w:rPr>
          <w:rFonts w:hint="eastAsia" w:ascii="仿宋" w:hAnsi="仿宋" w:eastAsia="仿宋" w:cs="仿宋"/>
          <w:sz w:val="24"/>
          <w:szCs w:val="24"/>
          <w:u w:val="single"/>
        </w:rPr>
        <w:t>（填写响应人名称）</w:t>
      </w:r>
      <w:r>
        <w:rPr>
          <w:rFonts w:hint="eastAsia" w:ascii="仿宋" w:hAnsi="仿宋" w:eastAsia="仿宋" w:cs="仿宋"/>
          <w:sz w:val="24"/>
          <w:szCs w:val="24"/>
        </w:rPr>
        <w:t>委托在下面签字的</w:t>
      </w:r>
      <w:r>
        <w:rPr>
          <w:rFonts w:hint="eastAsia" w:ascii="仿宋" w:hAnsi="仿宋" w:eastAsia="仿宋" w:cs="仿宋"/>
          <w:sz w:val="24"/>
          <w:szCs w:val="24"/>
          <w:u w:val="single"/>
        </w:rPr>
        <w:t>（填写受委托人的姓名、职务）</w:t>
      </w:r>
      <w:r>
        <w:rPr>
          <w:rFonts w:hint="eastAsia" w:ascii="仿宋" w:hAnsi="仿宋" w:eastAsia="仿宋" w:cs="仿宋"/>
          <w:sz w:val="24"/>
          <w:szCs w:val="24"/>
        </w:rPr>
        <w:t>为本公司的合法代表人，就</w:t>
      </w:r>
      <w:r>
        <w:rPr>
          <w:rFonts w:hint="eastAsia" w:ascii="仿宋" w:hAnsi="仿宋" w:eastAsia="仿宋" w:cs="仿宋"/>
          <w:sz w:val="24"/>
          <w:szCs w:val="24"/>
          <w:u w:val="single"/>
        </w:rPr>
        <w:t>（填写项目名称）</w:t>
      </w:r>
      <w:r>
        <w:rPr>
          <w:rFonts w:hint="eastAsia" w:ascii="仿宋" w:hAnsi="仿宋" w:eastAsia="仿宋" w:cs="仿宋"/>
          <w:sz w:val="24"/>
          <w:szCs w:val="24"/>
        </w:rPr>
        <w:t>项目等相关服务的谈判和合同的执行，以我方的名义处理一切与之有关的事宜（</w:t>
      </w:r>
      <w:r>
        <w:rPr>
          <w:rFonts w:hint="eastAsia" w:ascii="仿宋" w:hAnsi="仿宋" w:eastAsia="仿宋" w:cs="仿宋"/>
          <w:b/>
          <w:bCs/>
          <w:sz w:val="24"/>
          <w:szCs w:val="24"/>
        </w:rPr>
        <w:t>相关身份证复印件须附后</w:t>
      </w:r>
      <w:r>
        <w:rPr>
          <w:rFonts w:hint="eastAsia" w:ascii="仿宋" w:hAnsi="仿宋" w:eastAsia="仿宋" w:cs="仿宋"/>
          <w:sz w:val="24"/>
          <w:szCs w:val="24"/>
        </w:rPr>
        <w:t>）。</w:t>
      </w:r>
    </w:p>
    <w:p w14:paraId="76C41FD8">
      <w:pPr>
        <w:pStyle w:val="42"/>
        <w:ind w:firstLine="494"/>
        <w:rPr>
          <w:rFonts w:hint="eastAsia" w:ascii="仿宋" w:hAnsi="仿宋" w:eastAsia="仿宋" w:cs="仿宋"/>
          <w:sz w:val="24"/>
          <w:szCs w:val="24"/>
        </w:rPr>
      </w:pPr>
    </w:p>
    <w:p w14:paraId="5D068A71">
      <w:pPr>
        <w:pStyle w:val="42"/>
        <w:ind w:firstLine="494"/>
        <w:rPr>
          <w:rFonts w:hint="eastAsia" w:ascii="仿宋" w:hAnsi="仿宋" w:eastAsia="仿宋" w:cs="仿宋"/>
          <w:sz w:val="24"/>
          <w:szCs w:val="24"/>
        </w:rPr>
      </w:pPr>
      <w:r>
        <w:rPr>
          <w:rFonts w:hint="eastAsia" w:ascii="仿宋" w:hAnsi="仿宋" w:eastAsia="仿宋" w:cs="仿宋"/>
          <w:sz w:val="24"/>
          <w:szCs w:val="24"/>
        </w:rPr>
        <w:t>本委托书于    年   月   日至   年    月   日签字生效，有效期与询价有效期一致，特此声明。</w:t>
      </w:r>
    </w:p>
    <w:p w14:paraId="5EF9FD52">
      <w:pPr>
        <w:pStyle w:val="42"/>
        <w:ind w:firstLine="494"/>
        <w:rPr>
          <w:rFonts w:hint="eastAsia" w:ascii="仿宋" w:hAnsi="仿宋" w:eastAsia="仿宋" w:cs="仿宋"/>
          <w:sz w:val="24"/>
          <w:szCs w:val="24"/>
        </w:rPr>
      </w:pPr>
    </w:p>
    <w:p w14:paraId="37781EB0">
      <w:pPr>
        <w:pStyle w:val="42"/>
        <w:ind w:right="160" w:firstLine="0" w:firstLineChars="0"/>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163E0EFF">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响应人地址：</w:t>
      </w:r>
    </w:p>
    <w:p w14:paraId="65D203EF">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4EDC39D">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职务：</w:t>
      </w:r>
    </w:p>
    <w:p w14:paraId="70762511">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受委托人（签字或盖章）：</w:t>
      </w:r>
    </w:p>
    <w:p w14:paraId="7F78DE81">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职务：</w:t>
      </w:r>
    </w:p>
    <w:p w14:paraId="5AFCF944">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日期：</w:t>
      </w:r>
    </w:p>
    <w:bookmarkEnd w:id="3"/>
    <w:p w14:paraId="35F39007">
      <w:pPr>
        <w:pStyle w:val="43"/>
        <w:ind w:firstLine="0" w:firstLineChars="0"/>
        <w:jc w:val="left"/>
        <w:outlineLvl w:val="1"/>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附件五承诺函</w:t>
      </w:r>
    </w:p>
    <w:p w14:paraId="5BE92CB7">
      <w:pPr>
        <w:pStyle w:val="43"/>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承诺函</w:t>
      </w:r>
    </w:p>
    <w:p w14:paraId="1B654FF6">
      <w:pPr>
        <w:pStyle w:val="43"/>
        <w:ind w:firstLine="0" w:firstLineChars="0"/>
        <w:jc w:val="center"/>
        <w:rPr>
          <w:rFonts w:hint="eastAsia" w:ascii="仿宋" w:hAnsi="仿宋" w:eastAsia="仿宋" w:cs="仿宋"/>
          <w:b/>
          <w:sz w:val="24"/>
          <w:szCs w:val="24"/>
        </w:rPr>
      </w:pPr>
    </w:p>
    <w:p w14:paraId="18B93DED">
      <w:pPr>
        <w:pStyle w:val="43"/>
        <w:ind w:firstLine="0" w:firstLineChars="0"/>
        <w:jc w:val="center"/>
        <w:rPr>
          <w:rFonts w:hint="eastAsia" w:ascii="仿宋" w:hAnsi="仿宋" w:eastAsia="仿宋" w:cs="仿宋"/>
          <w:b/>
          <w:sz w:val="24"/>
          <w:szCs w:val="24"/>
        </w:rPr>
      </w:pPr>
    </w:p>
    <w:p w14:paraId="1589715C">
      <w:pPr>
        <w:rPr>
          <w:rFonts w:hint="eastAsia" w:ascii="仿宋" w:hAnsi="仿宋" w:eastAsia="仿宋" w:cs="仿宋"/>
          <w:sz w:val="24"/>
          <w:szCs w:val="24"/>
        </w:rPr>
      </w:pPr>
      <w:r>
        <w:rPr>
          <w:rFonts w:hint="eastAsia" w:ascii="仿宋" w:hAnsi="仿宋" w:eastAsia="仿宋" w:cs="仿宋"/>
          <w:sz w:val="24"/>
          <w:szCs w:val="24"/>
          <w:u w:val="single"/>
        </w:rPr>
        <w:t>东莞市城市工程建设集团有限公司（采购人）</w:t>
      </w:r>
      <w:r>
        <w:rPr>
          <w:rFonts w:hint="eastAsia" w:ascii="仿宋" w:hAnsi="仿宋" w:eastAsia="仿宋" w:cs="仿宋"/>
          <w:sz w:val="24"/>
          <w:szCs w:val="24"/>
        </w:rPr>
        <w:t>：</w:t>
      </w:r>
    </w:p>
    <w:p w14:paraId="54CE9C1B">
      <w:pPr>
        <w:pStyle w:val="42"/>
        <w:ind w:firstLine="640" w:firstLineChars="0"/>
        <w:rPr>
          <w:rFonts w:hint="eastAsia" w:ascii="仿宋" w:hAnsi="仿宋" w:eastAsia="仿宋" w:cs="仿宋"/>
          <w:sz w:val="24"/>
          <w:szCs w:val="24"/>
        </w:rPr>
      </w:pPr>
      <w:r>
        <w:rPr>
          <w:rFonts w:hint="eastAsia" w:ascii="仿宋" w:hAnsi="仿宋" w:eastAsia="仿宋" w:cs="仿宋"/>
          <w:sz w:val="24"/>
          <w:szCs w:val="24"/>
        </w:rPr>
        <w:t>我司就参加</w:t>
      </w:r>
      <w:r>
        <w:rPr>
          <w:rFonts w:hint="eastAsia" w:ascii="仿宋" w:hAnsi="仿宋" w:eastAsia="仿宋" w:cs="仿宋"/>
          <w:sz w:val="24"/>
          <w:szCs w:val="24"/>
          <w:u w:val="single"/>
        </w:rPr>
        <w:t xml:space="preserve">  城工集团2026年度电力交易项目 </w:t>
      </w:r>
      <w:r>
        <w:rPr>
          <w:rFonts w:hint="eastAsia" w:ascii="仿宋" w:hAnsi="仿宋" w:eastAsia="仿宋" w:cs="仿宋"/>
          <w:sz w:val="24"/>
          <w:szCs w:val="24"/>
        </w:rPr>
        <w:t>项目投标工作，作出以下承诺：</w:t>
      </w:r>
    </w:p>
    <w:p w14:paraId="15478ECE">
      <w:pPr>
        <w:pStyle w:val="42"/>
        <w:ind w:firstLine="494"/>
        <w:rPr>
          <w:rFonts w:hint="eastAsia" w:ascii="仿宋" w:hAnsi="仿宋" w:eastAsia="仿宋" w:cs="仿宋"/>
          <w:sz w:val="24"/>
          <w:szCs w:val="24"/>
        </w:rPr>
      </w:pPr>
      <w:r>
        <w:rPr>
          <w:rFonts w:hint="eastAsia" w:ascii="仿宋" w:hAnsi="仿宋" w:eastAsia="仿宋" w:cs="仿宋"/>
          <w:sz w:val="24"/>
          <w:szCs w:val="24"/>
        </w:rPr>
        <w:t>我公司已充分了解采购项目情况，本次报价完全响应询价文件的要求，我公司所提供的</w:t>
      </w:r>
      <w:r>
        <w:rPr>
          <w:rFonts w:hint="eastAsia" w:ascii="仿宋" w:hAnsi="仿宋" w:eastAsia="仿宋" w:cs="仿宋"/>
          <w:sz w:val="24"/>
          <w:szCs w:val="24"/>
          <w:u w:val="single"/>
        </w:rPr>
        <w:t xml:space="preserve">贵司 城工集团2026年度电力交易项目（服务内容）  </w:t>
      </w:r>
      <w:r>
        <w:rPr>
          <w:rFonts w:hint="eastAsia" w:ascii="仿宋" w:hAnsi="仿宋" w:eastAsia="仿宋" w:cs="仿宋"/>
          <w:sz w:val="24"/>
          <w:szCs w:val="24"/>
        </w:rPr>
        <w:t>等于或优于采购人需求，并承诺如不满足采购人需求，采购人有权取消合同并进行违约处罚。</w:t>
      </w:r>
    </w:p>
    <w:p w14:paraId="753E23E3">
      <w:pPr>
        <w:jc w:val="left"/>
        <w:rPr>
          <w:rFonts w:hint="eastAsia" w:ascii="仿宋" w:hAnsi="仿宋" w:eastAsia="仿宋" w:cs="仿宋"/>
          <w:sz w:val="24"/>
          <w:szCs w:val="24"/>
        </w:rPr>
      </w:pPr>
    </w:p>
    <w:p w14:paraId="6BF3BE5D">
      <w:pPr>
        <w:jc w:val="left"/>
        <w:rPr>
          <w:rFonts w:hint="eastAsia" w:ascii="仿宋" w:hAnsi="仿宋" w:eastAsia="仿宋" w:cs="仿宋"/>
          <w:sz w:val="24"/>
          <w:szCs w:val="24"/>
        </w:rPr>
      </w:pPr>
    </w:p>
    <w:p w14:paraId="00DADC37">
      <w:pPr>
        <w:jc w:val="left"/>
        <w:rPr>
          <w:rFonts w:hint="eastAsia" w:ascii="仿宋" w:hAnsi="仿宋" w:eastAsia="仿宋" w:cs="仿宋"/>
          <w:sz w:val="24"/>
          <w:szCs w:val="24"/>
        </w:rPr>
      </w:pPr>
    </w:p>
    <w:p w14:paraId="673EE925">
      <w:pPr>
        <w:pStyle w:val="42"/>
        <w:ind w:right="160" w:firstLine="0" w:firstLineChars="0"/>
        <w:jc w:val="left"/>
        <w:rPr>
          <w:rFonts w:hint="eastAsia" w:ascii="仿宋" w:hAnsi="仿宋" w:eastAsia="仿宋" w:cs="仿宋"/>
          <w:sz w:val="24"/>
          <w:szCs w:val="24"/>
        </w:rPr>
      </w:pPr>
      <w:r>
        <w:rPr>
          <w:rFonts w:hint="eastAsia" w:ascii="仿宋" w:hAnsi="仿宋" w:eastAsia="仿宋" w:cs="仿宋"/>
          <w:sz w:val="24"/>
          <w:szCs w:val="24"/>
        </w:rPr>
        <w:t>响应人名称（加盖公章）：</w:t>
      </w:r>
    </w:p>
    <w:p w14:paraId="73830F00">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响应人地址：</w:t>
      </w:r>
    </w:p>
    <w:p w14:paraId="05E36126">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7F12A2E0">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职务：</w:t>
      </w:r>
    </w:p>
    <w:p w14:paraId="08FF74CC">
      <w:pPr>
        <w:pStyle w:val="42"/>
        <w:ind w:firstLine="0" w:firstLineChars="0"/>
        <w:jc w:val="left"/>
        <w:rPr>
          <w:rFonts w:hint="eastAsia" w:ascii="仿宋" w:hAnsi="仿宋" w:eastAsia="仿宋" w:cs="仿宋"/>
          <w:sz w:val="24"/>
          <w:szCs w:val="24"/>
        </w:rPr>
      </w:pPr>
      <w:r>
        <w:rPr>
          <w:rFonts w:hint="eastAsia" w:ascii="仿宋" w:hAnsi="仿宋" w:eastAsia="仿宋" w:cs="仿宋"/>
          <w:sz w:val="24"/>
          <w:szCs w:val="24"/>
        </w:rPr>
        <w:t>日期：</w:t>
      </w:r>
    </w:p>
    <w:p w14:paraId="4B306EAE">
      <w:pPr>
        <w:pStyle w:val="42"/>
        <w:ind w:firstLine="0" w:firstLineChars="0"/>
        <w:jc w:val="left"/>
        <w:rPr>
          <w:rFonts w:hint="eastAsia" w:ascii="仿宋" w:hAnsi="仿宋" w:eastAsia="仿宋" w:cs="仿宋"/>
          <w:sz w:val="24"/>
          <w:szCs w:val="24"/>
        </w:rPr>
      </w:pPr>
    </w:p>
    <w:p w14:paraId="1C12E85F">
      <w:pPr>
        <w:pStyle w:val="42"/>
        <w:ind w:firstLine="0" w:firstLineChars="0"/>
        <w:jc w:val="left"/>
        <w:rPr>
          <w:rFonts w:hint="eastAsia" w:ascii="仿宋" w:hAnsi="仿宋" w:eastAsia="仿宋" w:cs="仿宋"/>
          <w:sz w:val="24"/>
          <w:szCs w:val="24"/>
        </w:rPr>
      </w:pPr>
    </w:p>
    <w:p w14:paraId="1C695237">
      <w:pPr>
        <w:pStyle w:val="42"/>
        <w:ind w:firstLine="0" w:firstLineChars="0"/>
        <w:jc w:val="left"/>
        <w:rPr>
          <w:rFonts w:hint="eastAsia" w:ascii="仿宋" w:hAnsi="仿宋" w:eastAsia="仿宋" w:cs="仿宋"/>
          <w:sz w:val="24"/>
          <w:szCs w:val="24"/>
        </w:rPr>
      </w:pPr>
    </w:p>
    <w:p w14:paraId="0F83C952">
      <w:pPr>
        <w:rPr>
          <w:rFonts w:hint="eastAsia" w:ascii="仿宋" w:hAnsi="仿宋" w:eastAsia="仿宋" w:cs="仿宋"/>
          <w:sz w:val="24"/>
          <w:szCs w:val="24"/>
        </w:rPr>
      </w:pPr>
    </w:p>
    <w:p w14:paraId="4DCF1140">
      <w:pPr>
        <w:widowControl/>
        <w:jc w:val="center"/>
        <w:rPr>
          <w:rFonts w:hint="eastAsia" w:ascii="仿宋" w:hAnsi="仿宋" w:eastAsia="仿宋" w:cs="仿宋"/>
          <w:sz w:val="24"/>
          <w:szCs w:val="24"/>
        </w:rPr>
      </w:pPr>
      <w:r>
        <w:drawing>
          <wp:inline distT="0" distB="0" distL="0" distR="0">
            <wp:extent cx="5637530" cy="2323465"/>
            <wp:effectExtent l="0" t="0" r="1270" b="635"/>
            <wp:docPr id="1026" name="图片 3"/>
            <wp:cNvGraphicFramePr/>
            <a:graphic xmlns:a="http://schemas.openxmlformats.org/drawingml/2006/main">
              <a:graphicData uri="http://schemas.openxmlformats.org/drawingml/2006/picture">
                <pic:pic xmlns:pic="http://schemas.openxmlformats.org/drawingml/2006/picture">
                  <pic:nvPicPr>
                    <pic:cNvPr id="1026" name="图片 3"/>
                    <pic:cNvPicPr/>
                  </pic:nvPicPr>
                  <pic:blipFill>
                    <a:blip r:embed="rId8" cstate="print"/>
                    <a:srcRect/>
                    <a:stretch>
                      <a:fillRect/>
                    </a:stretch>
                  </pic:blipFill>
                  <pic:spPr>
                    <a:xfrm>
                      <a:off x="0" y="0"/>
                      <a:ext cx="5637530" cy="2323465"/>
                    </a:xfrm>
                    <a:prstGeom prst="rect">
                      <a:avLst/>
                    </a:prstGeom>
                    <a:ln>
                      <a:noFill/>
                    </a:ln>
                  </pic:spPr>
                </pic:pic>
              </a:graphicData>
            </a:graphic>
          </wp:inline>
        </w:drawing>
      </w:r>
    </w:p>
    <w:p w14:paraId="1BD5A283">
      <w:pPr>
        <w:widowControl/>
        <w:jc w:val="left"/>
        <w:rPr>
          <w:rFonts w:hint="eastAsia" w:ascii="仿宋" w:hAnsi="仿宋" w:eastAsia="仿宋" w:cs="仿宋"/>
          <w:sz w:val="24"/>
          <w:szCs w:val="24"/>
        </w:rPr>
      </w:pPr>
    </w:p>
    <w:p w14:paraId="6DC84265">
      <w:pPr>
        <w:pStyle w:val="43"/>
        <w:ind w:firstLine="0" w:firstLineChars="0"/>
        <w:jc w:val="left"/>
        <w:outlineLvl w:val="1"/>
        <w:rPr>
          <w:rFonts w:hint="eastAsia" w:ascii="仿宋" w:hAnsi="仿宋" w:eastAsia="仿宋" w:cs="仿宋"/>
          <w:sz w:val="24"/>
          <w:szCs w:val="24"/>
        </w:rPr>
      </w:pPr>
      <w:bookmarkStart w:id="4" w:name="_Hlk40704598"/>
      <w:r>
        <w:rPr>
          <w:rFonts w:hint="eastAsia" w:ascii="仿宋" w:hAnsi="仿宋" w:eastAsia="仿宋" w:cs="仿宋"/>
          <w:sz w:val="24"/>
          <w:szCs w:val="24"/>
        </w:rPr>
        <w:br w:type="page"/>
      </w:r>
      <w:r>
        <w:rPr>
          <w:rFonts w:hint="eastAsia" w:ascii="仿宋" w:hAnsi="仿宋" w:eastAsia="仿宋" w:cs="仿宋"/>
          <w:sz w:val="24"/>
          <w:szCs w:val="24"/>
        </w:rPr>
        <w:t>附件六用户需求书/技术规范书</w:t>
      </w:r>
    </w:p>
    <w:p w14:paraId="36A80F7C">
      <w:pPr>
        <w:pStyle w:val="43"/>
        <w:ind w:firstLine="0" w:firstLineChars="0"/>
        <w:jc w:val="left"/>
        <w:outlineLvl w:val="1"/>
        <w:rPr>
          <w:rFonts w:hint="eastAsia" w:ascii="仿宋" w:hAnsi="仿宋" w:eastAsia="仿宋" w:cs="仿宋"/>
          <w:sz w:val="24"/>
          <w:szCs w:val="24"/>
        </w:rPr>
      </w:pPr>
    </w:p>
    <w:p w14:paraId="6866C603">
      <w:pPr>
        <w:pStyle w:val="43"/>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用户需求书/技术规范书</w:t>
      </w:r>
    </w:p>
    <w:bookmarkEnd w:id="1"/>
    <w:bookmarkEnd w:id="4"/>
    <w:p w14:paraId="49C7433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项目背景：为进一步深化电力体制改革，完善电价机制，构建有效竞争的电价市场结构和市场体系。广东省能源局、国家能源局南方监管局发布了《关于广东电力市场2026年交易关键机制和参数的通知》（广东交易[2025]271号），明确了电力交易方案和规则。</w:t>
      </w:r>
    </w:p>
    <w:p w14:paraId="7C6B9FC6">
      <w:pPr>
        <w:ind w:firstLine="480" w:firstLineChars="200"/>
        <w:rPr>
          <w:rFonts w:hint="eastAsia" w:ascii="仿宋" w:hAnsi="仿宋" w:eastAsia="仿宋" w:cs="仿宋"/>
          <w:sz w:val="24"/>
          <w:szCs w:val="24"/>
        </w:rPr>
      </w:pPr>
      <w:r>
        <w:rPr>
          <w:rFonts w:hint="eastAsia" w:ascii="仿宋" w:hAnsi="仿宋" w:eastAsia="仿宋" w:cs="仿宋"/>
          <w:sz w:val="24"/>
          <w:szCs w:val="24"/>
        </w:rPr>
        <w:t>一、项目概况</w:t>
      </w:r>
    </w:p>
    <w:p w14:paraId="47DD719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1、项目名称：东莞市城市工程建设集团有限公司2026年度电力交易项目</w:t>
      </w:r>
    </w:p>
    <w:p w14:paraId="155C18C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2、项目范围：东莞市城市工程建设集团有限公司。</w:t>
      </w:r>
    </w:p>
    <w:p w14:paraId="092E8EF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3、项目规模：约1500万千瓦时/年。</w:t>
      </w:r>
    </w:p>
    <w:p w14:paraId="5A2F4DF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交易方案：合同期内所有用电量委托售电公司代理业主（东莞市城市工程建设集团有限公司）参与广东电力交易中心组织的电力市场交易。以“基准价+上下浮动”模式参与交易，固定价格结算电量与市场联动价格结算电量按照业主实际用电量90%:10% 进行分配，浮动费用为全电量收取。固定价格部分以最终成交价参与交易，市场联动部分以月度交易综合价参与交易。不选用煤电联动模式。</w:t>
      </w:r>
    </w:p>
    <w:p w14:paraId="63CE7AA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5、服务期限：</w:t>
      </w:r>
      <w:r>
        <w:rPr>
          <w:rFonts w:hint="eastAsia" w:ascii="仿宋" w:hAnsi="仿宋" w:eastAsia="仿宋" w:cs="仿宋"/>
          <w:sz w:val="24"/>
          <w:szCs w:val="24"/>
          <w:u w:val="single"/>
        </w:rPr>
        <w:t>2026年1月1日至2026年12月31日。</w:t>
      </w:r>
    </w:p>
    <w:p w14:paraId="03436F66">
      <w:pPr>
        <w:ind w:firstLine="480" w:firstLineChars="200"/>
        <w:rPr>
          <w:rFonts w:hint="eastAsia" w:ascii="仿宋" w:hAnsi="仿宋" w:eastAsia="仿宋" w:cs="仿宋"/>
          <w:sz w:val="24"/>
          <w:szCs w:val="24"/>
        </w:rPr>
      </w:pPr>
      <w:r>
        <w:rPr>
          <w:rFonts w:hint="eastAsia" w:ascii="仿宋" w:hAnsi="仿宋" w:eastAsia="仿宋" w:cs="仿宋"/>
          <w:sz w:val="24"/>
          <w:szCs w:val="24"/>
        </w:rPr>
        <w:t>三、交易方案</w:t>
      </w:r>
    </w:p>
    <w:p w14:paraId="4D1547A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（一）所有用电量委托售电公司代理业主参与广东电力交易中心组织的电力市场交易。</w:t>
      </w:r>
    </w:p>
    <w:p w14:paraId="446B13A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（二）交易模式</w:t>
      </w:r>
    </w:p>
    <w:p w14:paraId="5ADE0F2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1、以“基准价+上下浮动”模式参与交易，固定价格结算电量与市场联动价格结算电量按照业主实际用电量90%:10%进行分配，浮动费用为全电量收取。</w:t>
      </w:r>
    </w:p>
    <w:p w14:paraId="13F79C4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2、固定价格部分：以最终成交价参与交易，各售电公司按照下限0.372元/千瓦时、上限0.428元/千瓦时进行报价，业主将通过招标文件规定的评审方式，选出有利于业主自身的优惠方案。</w:t>
      </w:r>
    </w:p>
    <w:p w14:paraId="1D329B6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3、市场联动部分：以广东电力交易中心每月发布的月度中长期交易综合价参与交易。</w:t>
      </w:r>
    </w:p>
    <w:p w14:paraId="398132F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4、市场风险防控选用“超额电费共担条款”内容：甲方平段电量结算价格较市场月度加权平均价超出 </w:t>
      </w:r>
      <w:r>
        <w:rPr>
          <w:rFonts w:hint="eastAsia" w:ascii="仿宋" w:hAnsi="仿宋" w:eastAsia="仿宋" w:cs="仿宋"/>
          <w:sz w:val="24"/>
          <w:szCs w:val="24"/>
          <w:u w:val="single"/>
        </w:rPr>
        <w:t xml:space="preserve">30 </w:t>
      </w:r>
      <w:r>
        <w:rPr>
          <w:rFonts w:hint="eastAsia" w:ascii="仿宋" w:hAnsi="仿宋" w:eastAsia="仿宋" w:cs="仿宋"/>
          <w:sz w:val="24"/>
          <w:szCs w:val="24"/>
        </w:rPr>
        <w:t>%部分的费用由乙方承担，低于</w:t>
      </w:r>
      <w:r>
        <w:rPr>
          <w:rFonts w:hint="eastAsia" w:ascii="仿宋" w:hAnsi="仿宋" w:eastAsia="仿宋" w:cs="仿宋"/>
          <w:sz w:val="24"/>
          <w:szCs w:val="24"/>
          <w:u w:val="single"/>
        </w:rPr>
        <w:t xml:space="preserve"> 20 </w:t>
      </w:r>
      <w:r>
        <w:rPr>
          <w:rFonts w:hint="eastAsia" w:ascii="仿宋" w:hAnsi="仿宋" w:eastAsia="仿宋" w:cs="仿宋"/>
          <w:sz w:val="24"/>
          <w:szCs w:val="24"/>
        </w:rPr>
        <w:t>%部分的费用由甲方返还给乙方。</w:t>
      </w:r>
    </w:p>
    <w:p w14:paraId="2C8DC29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5、用电偏差由售电公司承担。</w:t>
      </w:r>
    </w:p>
    <w:p w14:paraId="556EFAE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6、不选用煤电联动模式。</w:t>
      </w:r>
    </w:p>
    <w:p w14:paraId="1D9CB79B">
      <w:pPr>
        <w:ind w:firstLine="480" w:firstLineChars="200"/>
        <w:rPr>
          <w:rFonts w:hint="eastAsia" w:ascii="仿宋" w:hAnsi="仿宋" w:eastAsia="仿宋" w:cs="仿宋"/>
          <w:sz w:val="24"/>
          <w:szCs w:val="24"/>
        </w:rPr>
      </w:pPr>
      <w:r>
        <w:rPr>
          <w:rFonts w:hint="eastAsia" w:ascii="仿宋" w:hAnsi="仿宋" w:eastAsia="仿宋" w:cs="仿宋"/>
          <w:sz w:val="24"/>
          <w:szCs w:val="24"/>
        </w:rPr>
        <w:t>四、交易结算</w:t>
      </w:r>
    </w:p>
    <w:p w14:paraId="203C6B8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1、广东电力市场按现货模式运行期间，按照《广东电力市场结算实施细则》以及现货运行有关要求进行结算。广东电力市场按非现货模式运行期间，按照《广东电力市场交易基本规则》进行结算。</w:t>
      </w:r>
    </w:p>
    <w:p w14:paraId="48F713E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2、业主和售电公司双方按照成交结果在交易系统中进行申报、确认，广东电力交易中心以双方在交易系统中申报、确认的模式和数据进行结算。</w:t>
      </w:r>
    </w:p>
    <w:p w14:paraId="49C385A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业主购电价格按照政策规定由电能量价格、输配电费、尖峰加价电费、变动成本补偿分摊电费、需求响应分摊电费、峰谷平衡费用、一次能源价格波动疏导分摊电费、政府性基金及附加等组成。合同中签订的绝对价模式，约定价格为电能量价格。输配电费、政府性基金及附加及各项分摊电费由电网公司和交易中心按照政策规定执行。</w:t>
      </w:r>
    </w:p>
    <w:p w14:paraId="6CEAE70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4、每月实际交易电量以供电企业电力计量装置采集并推送至广东电力交易中心发布的实际用电量为准，业主的电费结算方式为月度结算。</w:t>
      </w:r>
    </w:p>
    <w:p w14:paraId="0AADDA74">
      <w:pPr>
        <w:spacing w:line="360" w:lineRule="auto"/>
        <w:ind w:firstLine="480" w:firstLineChars="200"/>
        <w:sectPr>
          <w:footerReference r:id="rId6" w:type="even"/>
          <w:pgSz w:w="11906" w:h="16838"/>
          <w:pgMar w:top="1440" w:right="1797" w:bottom="1440" w:left="1797" w:header="851" w:footer="992" w:gutter="0"/>
          <w:cols w:space="720" w:num="1"/>
          <w:docGrid w:type="lines" w:linePitch="312" w:charSpace="0"/>
        </w:sectPr>
      </w:pPr>
      <w:r>
        <w:rPr>
          <w:rFonts w:hint="eastAsia" w:ascii="仿宋" w:hAnsi="仿宋" w:eastAsia="仿宋" w:cs="仿宋"/>
          <w:sz w:val="24"/>
          <w:szCs w:val="24"/>
        </w:rPr>
        <w:t>5、业主或售电公司对电网公司统计的电量和电费、广东电力交易中心结算结果有异议的，有权按照有关法律法规等规定向广东电力交易中心、电网公司等有关主体申请复核。</w:t>
      </w:r>
    </w:p>
    <w:p w14:paraId="4AA23EA0"/>
    <w:p w14:paraId="4D495997">
      <w:pPr>
        <w:spacing w:before="257"/>
        <w:ind w:right="81"/>
        <w:jc w:val="left"/>
        <w:rPr>
          <w:rFonts w:hint="eastAsia" w:ascii="仿宋" w:hAnsi="仿宋" w:eastAsia="仿宋" w:cs="仿宋"/>
          <w:b/>
          <w:bCs/>
          <w:sz w:val="24"/>
          <w:szCs w:val="24"/>
        </w:rPr>
      </w:pPr>
      <w:r>
        <w:rPr>
          <w:rFonts w:hint="eastAsia" w:ascii="仿宋" w:hAnsi="仿宋" w:eastAsia="仿宋" w:cs="仿宋"/>
          <w:sz w:val="24"/>
          <w:szCs w:val="24"/>
        </w:rPr>
        <w:t>附件七：</w:t>
      </w:r>
      <w:r>
        <w:rPr>
          <w:rFonts w:hint="eastAsia" w:ascii="仿宋" w:hAnsi="仿宋" w:eastAsia="仿宋" w:cs="仿宋"/>
          <w:b/>
          <w:bCs/>
          <w:sz w:val="24"/>
          <w:szCs w:val="24"/>
        </w:rPr>
        <w:t>合同文本</w:t>
      </w:r>
    </w:p>
    <w:p w14:paraId="11FECB0D">
      <w:pPr>
        <w:ind w:firstLine="210" w:firstLineChars="100"/>
        <w:rPr>
          <w:rFonts w:hint="eastAsia" w:ascii="仿宋" w:hAnsi="仿宋" w:eastAsia="仿宋" w:cs="仿宋"/>
          <w:sz w:val="24"/>
          <w:szCs w:val="24"/>
        </w:rPr>
      </w:pPr>
      <w:r>
        <w:rPr>
          <w:rFonts w:hint="eastAsia" w:ascii="仿宋" w:hAnsi="仿宋" w:eastAsia="仿宋" w:cs="仿宋"/>
        </w:rPr>
        <w:t xml:space="preserve"> </w:t>
      </w:r>
      <w:r>
        <w:rPr>
          <w:rFonts w:hint="eastAsia" w:ascii="仿宋" w:hAnsi="仿宋" w:eastAsia="仿宋" w:cs="仿宋"/>
          <w:sz w:val="24"/>
          <w:szCs w:val="24"/>
        </w:rPr>
        <w:t>按广东电力交易中心《2025 年广东电力市场售电公司与电力用户零售交易合同》范本合同执行</w:t>
      </w:r>
    </w:p>
    <w:p w14:paraId="76C0795A">
      <w:pPr>
        <w:rPr>
          <w:rFonts w:hint="eastAsia" w:ascii="仿宋" w:hAnsi="仿宋" w:eastAsia="仿宋" w:cs="仿宋"/>
          <w:b/>
          <w:sz w:val="24"/>
          <w:szCs w:val="24"/>
        </w:rPr>
      </w:pPr>
      <w:r>
        <w:rPr>
          <w:rFonts w:hint="eastAsia" w:ascii="仿宋" w:hAnsi="仿宋" w:eastAsia="仿宋" w:cs="仿宋"/>
          <w:b/>
          <w:sz w:val="24"/>
          <w:szCs w:val="24"/>
        </w:rPr>
        <w:br w:type="page"/>
      </w:r>
    </w:p>
    <w:p w14:paraId="50FC6469">
      <w:pPr>
        <w:widowControl/>
        <w:snapToGrid w:val="0"/>
        <w:spacing w:line="360" w:lineRule="auto"/>
        <w:ind w:firstLine="800" w:firstLineChars="250"/>
        <w:jc w:val="center"/>
        <w:rPr>
          <w:rFonts w:eastAsia="黑体"/>
          <w:b/>
          <w:bCs/>
          <w:sz w:val="32"/>
        </w:rPr>
      </w:pPr>
    </w:p>
    <w:p w14:paraId="7DA4ED94">
      <w:pPr>
        <w:widowControl/>
        <w:snapToGrid w:val="0"/>
        <w:spacing w:line="360" w:lineRule="auto"/>
        <w:ind w:firstLine="800" w:firstLineChars="250"/>
        <w:jc w:val="center"/>
        <w:rPr>
          <w:rFonts w:eastAsia="黑体"/>
          <w:b/>
          <w:bCs/>
          <w:sz w:val="32"/>
        </w:rPr>
      </w:pPr>
    </w:p>
    <w:p w14:paraId="3B3B3403">
      <w:pPr>
        <w:widowControl/>
        <w:snapToGrid w:val="0"/>
        <w:spacing w:line="360" w:lineRule="auto"/>
        <w:ind w:firstLine="800" w:firstLineChars="250"/>
        <w:jc w:val="center"/>
        <w:rPr>
          <w:rFonts w:eastAsia="黑体"/>
          <w:b/>
          <w:bCs/>
          <w:sz w:val="32"/>
        </w:rPr>
      </w:pPr>
    </w:p>
    <w:p w14:paraId="69472AA2">
      <w:pPr>
        <w:widowControl/>
        <w:snapToGrid w:val="0"/>
        <w:spacing w:line="360" w:lineRule="auto"/>
        <w:ind w:firstLine="800" w:firstLineChars="250"/>
        <w:jc w:val="center"/>
        <w:rPr>
          <w:rFonts w:eastAsia="黑体"/>
          <w:b/>
          <w:bCs/>
          <w:sz w:val="32"/>
        </w:rPr>
      </w:pPr>
    </w:p>
    <w:p w14:paraId="6A3B76FE">
      <w:pPr>
        <w:widowControl/>
        <w:snapToGrid w:val="0"/>
        <w:spacing w:line="360" w:lineRule="auto"/>
        <w:ind w:firstLine="800" w:firstLineChars="250"/>
        <w:jc w:val="center"/>
        <w:rPr>
          <w:rFonts w:eastAsia="黑体"/>
          <w:b/>
          <w:bCs/>
          <w:sz w:val="32"/>
        </w:rPr>
      </w:pPr>
    </w:p>
    <w:p w14:paraId="0650EEEE">
      <w:pPr>
        <w:widowControl/>
        <w:snapToGrid w:val="0"/>
        <w:spacing w:line="360" w:lineRule="auto"/>
        <w:ind w:firstLine="800" w:firstLineChars="250"/>
        <w:jc w:val="center"/>
        <w:rPr>
          <w:rFonts w:eastAsia="黑体"/>
          <w:b/>
          <w:bCs/>
          <w:sz w:val="32"/>
        </w:rPr>
      </w:pPr>
    </w:p>
    <w:p w14:paraId="69EACF37">
      <w:pPr>
        <w:widowControl/>
        <w:snapToGrid w:val="0"/>
        <w:spacing w:line="360" w:lineRule="auto"/>
        <w:ind w:firstLine="800" w:firstLineChars="250"/>
        <w:jc w:val="center"/>
        <w:rPr>
          <w:rFonts w:eastAsia="黑体"/>
          <w:b/>
          <w:bCs/>
          <w:sz w:val="32"/>
        </w:rPr>
      </w:pPr>
    </w:p>
    <w:p w14:paraId="701C5801">
      <w:pPr>
        <w:widowControl/>
        <w:snapToGrid w:val="0"/>
        <w:spacing w:line="360" w:lineRule="auto"/>
        <w:ind w:firstLine="800" w:firstLineChars="250"/>
        <w:jc w:val="center"/>
        <w:rPr>
          <w:rFonts w:eastAsia="黑体"/>
          <w:b/>
          <w:bCs/>
          <w:sz w:val="32"/>
        </w:rPr>
      </w:pPr>
    </w:p>
    <w:p w14:paraId="0A691534">
      <w:pPr>
        <w:widowControl/>
        <w:snapToGrid w:val="0"/>
        <w:spacing w:line="360" w:lineRule="auto"/>
        <w:ind w:firstLine="800" w:firstLineChars="250"/>
        <w:jc w:val="center"/>
        <w:rPr>
          <w:rFonts w:eastAsia="黑体"/>
          <w:b/>
          <w:bCs/>
          <w:sz w:val="32"/>
        </w:rPr>
      </w:pPr>
    </w:p>
    <w:p w14:paraId="7C5F22A9">
      <w:pPr>
        <w:widowControl/>
        <w:snapToGrid w:val="0"/>
        <w:spacing w:line="360" w:lineRule="auto"/>
        <w:ind w:firstLine="800" w:firstLineChars="250"/>
        <w:jc w:val="center"/>
        <w:rPr>
          <w:rFonts w:eastAsia="黑体"/>
          <w:b/>
          <w:bCs/>
          <w:sz w:val="32"/>
        </w:rPr>
      </w:pPr>
    </w:p>
    <w:p w14:paraId="68C1A521">
      <w:pPr>
        <w:widowControl/>
        <w:snapToGrid w:val="0"/>
        <w:spacing w:line="360" w:lineRule="auto"/>
        <w:ind w:firstLine="800" w:firstLineChars="250"/>
        <w:jc w:val="center"/>
        <w:rPr>
          <w:rFonts w:eastAsia="黑体"/>
          <w:b/>
          <w:bCs/>
          <w:sz w:val="32"/>
        </w:rPr>
      </w:pPr>
    </w:p>
    <w:p w14:paraId="67E8C704">
      <w:pPr>
        <w:widowControl/>
        <w:snapToGrid w:val="0"/>
        <w:spacing w:line="360" w:lineRule="auto"/>
        <w:ind w:firstLine="800" w:firstLineChars="250"/>
        <w:jc w:val="center"/>
        <w:rPr>
          <w:rFonts w:eastAsia="黑体"/>
          <w:b/>
          <w:bCs/>
          <w:sz w:val="32"/>
        </w:rPr>
      </w:pPr>
    </w:p>
    <w:p w14:paraId="6827D119">
      <w:pPr>
        <w:widowControl/>
        <w:snapToGrid w:val="0"/>
        <w:spacing w:line="360" w:lineRule="auto"/>
        <w:ind w:firstLine="800" w:firstLineChars="250"/>
        <w:jc w:val="center"/>
        <w:rPr>
          <w:rFonts w:eastAsia="黑体"/>
          <w:b/>
          <w:bCs/>
          <w:sz w:val="32"/>
        </w:rPr>
      </w:pPr>
    </w:p>
    <w:p w14:paraId="5A8D9475">
      <w:pPr>
        <w:widowControl/>
        <w:snapToGrid w:val="0"/>
        <w:spacing w:line="360" w:lineRule="auto"/>
        <w:ind w:firstLine="800" w:firstLineChars="250"/>
        <w:jc w:val="center"/>
        <w:rPr>
          <w:rFonts w:eastAsia="黑体"/>
          <w:b/>
          <w:bCs/>
          <w:sz w:val="32"/>
        </w:rPr>
      </w:pPr>
      <w:r>
        <w:rPr>
          <w:rFonts w:hint="eastAsia" w:eastAsia="黑体"/>
          <w:b/>
          <w:bCs/>
          <w:sz w:val="32"/>
        </w:rPr>
        <w:t xml:space="preserve">  投标文件（格式）</w:t>
      </w:r>
    </w:p>
    <w:p w14:paraId="04852752">
      <w:pPr>
        <w:widowControl/>
        <w:spacing w:line="360" w:lineRule="auto"/>
        <w:jc w:val="center"/>
        <w:rPr>
          <w:rFonts w:eastAsia="仿宋_GB2312"/>
          <w:color w:val="000000"/>
          <w:sz w:val="32"/>
          <w:szCs w:val="32"/>
        </w:rPr>
      </w:pPr>
      <w:r>
        <w:rPr>
          <w:rFonts w:eastAsia="仿宋_GB2312"/>
          <w:color w:val="000000"/>
          <w:sz w:val="32"/>
          <w:szCs w:val="32"/>
        </w:rPr>
        <w:br w:type="page"/>
      </w:r>
    </w:p>
    <w:p w14:paraId="03422DF7">
      <w:pPr>
        <w:widowControl/>
        <w:spacing w:line="360" w:lineRule="auto"/>
        <w:jc w:val="center"/>
        <w:rPr>
          <w:rFonts w:eastAsia="仿宋_GB2312"/>
          <w:color w:val="000000"/>
          <w:sz w:val="32"/>
          <w:szCs w:val="32"/>
        </w:rPr>
      </w:pPr>
    </w:p>
    <w:p w14:paraId="1CEA008C">
      <w:pPr>
        <w:widowControl/>
        <w:spacing w:line="360" w:lineRule="auto"/>
        <w:jc w:val="center"/>
        <w:rPr>
          <w:rFonts w:hint="eastAsia" w:hAnsi="宋体"/>
          <w:kern w:val="0"/>
          <w:sz w:val="84"/>
        </w:rPr>
      </w:pPr>
      <w:r>
        <w:rPr>
          <w:rFonts w:hint="eastAsia" w:hAnsi="宋体"/>
          <w:kern w:val="0"/>
          <w:sz w:val="84"/>
        </w:rPr>
        <w:t>投  标  文 件</w:t>
      </w:r>
    </w:p>
    <w:p w14:paraId="5823CDF5">
      <w:pPr>
        <w:widowControl/>
        <w:spacing w:line="360" w:lineRule="auto"/>
        <w:ind w:left="980"/>
        <w:jc w:val="center"/>
        <w:rPr>
          <w:rFonts w:hint="eastAsia" w:hAnsi="宋体"/>
          <w:kern w:val="0"/>
          <w:sz w:val="36"/>
          <w:szCs w:val="36"/>
        </w:rPr>
      </w:pPr>
      <w:r>
        <w:rPr>
          <w:rFonts w:hint="eastAsia" w:hAnsi="宋体"/>
          <w:kern w:val="0"/>
          <w:sz w:val="36"/>
          <w:szCs w:val="36"/>
        </w:rPr>
        <w:t xml:space="preserve"> </w:t>
      </w:r>
    </w:p>
    <w:p w14:paraId="70A10B57">
      <w:pPr>
        <w:widowControl/>
        <w:spacing w:line="360" w:lineRule="auto"/>
        <w:ind w:left="980"/>
        <w:jc w:val="left"/>
        <w:rPr>
          <w:rFonts w:hint="eastAsia" w:hAnsi="宋体"/>
          <w:kern w:val="0"/>
        </w:rPr>
      </w:pPr>
    </w:p>
    <w:p w14:paraId="6D3CF28D">
      <w:pPr>
        <w:widowControl/>
        <w:spacing w:line="360" w:lineRule="auto"/>
        <w:ind w:left="980"/>
        <w:jc w:val="left"/>
        <w:rPr>
          <w:rFonts w:hint="eastAsia" w:hAnsi="宋体"/>
          <w:kern w:val="0"/>
        </w:rPr>
      </w:pPr>
    </w:p>
    <w:p w14:paraId="5632056E">
      <w:pPr>
        <w:widowControl/>
        <w:spacing w:line="360" w:lineRule="auto"/>
        <w:ind w:left="980"/>
        <w:jc w:val="left"/>
        <w:rPr>
          <w:rFonts w:hint="eastAsia" w:hAnsi="宋体"/>
          <w:kern w:val="0"/>
        </w:rPr>
      </w:pPr>
    </w:p>
    <w:p w14:paraId="580730B0">
      <w:pPr>
        <w:widowControl/>
        <w:spacing w:line="360" w:lineRule="auto"/>
        <w:ind w:left="980"/>
        <w:jc w:val="left"/>
        <w:rPr>
          <w:rFonts w:hint="eastAsia" w:hAnsi="宋体"/>
          <w:kern w:val="0"/>
        </w:rPr>
      </w:pPr>
    </w:p>
    <w:p w14:paraId="26E3C713">
      <w:pPr>
        <w:widowControl/>
        <w:spacing w:line="360" w:lineRule="auto"/>
        <w:ind w:left="980"/>
        <w:jc w:val="left"/>
        <w:rPr>
          <w:rFonts w:hint="eastAsia" w:hAnsi="宋体"/>
          <w:kern w:val="0"/>
        </w:rPr>
      </w:pPr>
    </w:p>
    <w:p w14:paraId="0B58F667">
      <w:pPr>
        <w:widowControl/>
        <w:spacing w:line="360" w:lineRule="auto"/>
        <w:ind w:firstLine="2100" w:firstLineChars="700"/>
        <w:jc w:val="left"/>
        <w:rPr>
          <w:rFonts w:hint="eastAsia" w:hAnsi="宋体"/>
          <w:kern w:val="0"/>
          <w:sz w:val="30"/>
        </w:rPr>
      </w:pPr>
      <w:r>
        <w:rPr>
          <w:rFonts w:hint="eastAsia" w:hAnsi="宋体"/>
          <w:kern w:val="0"/>
          <w:sz w:val="30"/>
        </w:rPr>
        <w:t>采购编号：</w:t>
      </w:r>
      <w:r>
        <w:rPr>
          <w:rFonts w:hint="eastAsia" w:hAnsi="宋体"/>
          <w:kern w:val="0"/>
          <w:sz w:val="30"/>
          <w:u w:val="single"/>
        </w:rPr>
        <w:t xml:space="preserve">                       </w:t>
      </w:r>
    </w:p>
    <w:p w14:paraId="6EF1805E">
      <w:pPr>
        <w:widowControl/>
        <w:spacing w:line="360" w:lineRule="auto"/>
        <w:ind w:firstLine="2100" w:firstLineChars="700"/>
        <w:jc w:val="left"/>
        <w:rPr>
          <w:rFonts w:hint="eastAsia" w:hAnsi="宋体"/>
          <w:kern w:val="0"/>
          <w:sz w:val="30"/>
          <w:u w:val="single"/>
        </w:rPr>
      </w:pPr>
      <w:r>
        <w:rPr>
          <w:rFonts w:hint="eastAsia" w:hAnsi="宋体"/>
          <w:kern w:val="0"/>
          <w:sz w:val="30"/>
        </w:rPr>
        <w:t>项目名称：</w:t>
      </w:r>
      <w:r>
        <w:rPr>
          <w:rFonts w:hint="eastAsia" w:hAnsi="宋体"/>
          <w:kern w:val="0"/>
          <w:sz w:val="30"/>
          <w:u w:val="single"/>
        </w:rPr>
        <w:t xml:space="preserve">                       </w:t>
      </w:r>
    </w:p>
    <w:p w14:paraId="41D683C5">
      <w:pPr>
        <w:widowControl/>
        <w:spacing w:line="360" w:lineRule="auto"/>
        <w:ind w:firstLine="2100" w:firstLineChars="700"/>
        <w:jc w:val="left"/>
        <w:rPr>
          <w:rFonts w:hint="eastAsia" w:hAnsi="宋体"/>
          <w:kern w:val="0"/>
          <w:sz w:val="30"/>
        </w:rPr>
      </w:pPr>
      <w:r>
        <w:rPr>
          <w:rFonts w:hint="eastAsia" w:hAnsi="宋体"/>
          <w:kern w:val="0"/>
          <w:sz w:val="30"/>
        </w:rPr>
        <w:t>投标文件内容：</w:t>
      </w:r>
      <w:r>
        <w:rPr>
          <w:rFonts w:hint="eastAsia" w:hAnsi="宋体"/>
          <w:kern w:val="0"/>
          <w:sz w:val="30"/>
          <w:u w:val="single"/>
        </w:rPr>
        <w:t xml:space="preserve">     商务部分      </w:t>
      </w:r>
    </w:p>
    <w:p w14:paraId="5D89EC83">
      <w:pPr>
        <w:widowControl/>
        <w:spacing w:line="360" w:lineRule="auto"/>
        <w:ind w:firstLine="2100" w:firstLineChars="700"/>
        <w:jc w:val="left"/>
        <w:rPr>
          <w:rFonts w:hint="eastAsia" w:hAnsi="宋体"/>
          <w:kern w:val="0"/>
          <w:sz w:val="30"/>
        </w:rPr>
      </w:pPr>
      <w:r>
        <w:rPr>
          <w:rFonts w:hint="eastAsia" w:hAnsi="宋体"/>
          <w:kern w:val="0"/>
          <w:sz w:val="30"/>
        </w:rPr>
        <w:t>采购人：</w:t>
      </w:r>
      <w:r>
        <w:rPr>
          <w:rFonts w:hint="eastAsia" w:hAnsi="宋体"/>
          <w:kern w:val="0"/>
          <w:sz w:val="30"/>
          <w:u w:val="single"/>
        </w:rPr>
        <w:t xml:space="preserve">                         </w:t>
      </w:r>
    </w:p>
    <w:p w14:paraId="0F435687">
      <w:pPr>
        <w:widowControl/>
        <w:spacing w:line="360" w:lineRule="auto"/>
        <w:ind w:firstLine="2100" w:firstLineChars="700"/>
        <w:jc w:val="left"/>
        <w:rPr>
          <w:rFonts w:hint="eastAsia" w:hAnsi="宋体"/>
          <w:kern w:val="0"/>
          <w:sz w:val="30"/>
          <w:u w:val="single"/>
        </w:rPr>
      </w:pPr>
      <w:r>
        <w:rPr>
          <w:rFonts w:hint="eastAsia" w:hAnsi="宋体"/>
          <w:kern w:val="0"/>
          <w:sz w:val="30"/>
        </w:rPr>
        <w:t>投标人：</w:t>
      </w:r>
      <w:r>
        <w:rPr>
          <w:rFonts w:hint="eastAsia" w:hAnsi="宋体"/>
          <w:kern w:val="0"/>
          <w:sz w:val="30"/>
          <w:u w:val="single"/>
        </w:rPr>
        <w:t xml:space="preserve">                  （加盖公司法人公章）</w:t>
      </w:r>
    </w:p>
    <w:p w14:paraId="255B32F7">
      <w:pPr>
        <w:widowControl/>
        <w:spacing w:line="360" w:lineRule="auto"/>
        <w:ind w:firstLine="2100" w:firstLineChars="700"/>
        <w:jc w:val="left"/>
        <w:rPr>
          <w:rFonts w:hint="eastAsia" w:hAnsi="宋体"/>
          <w:kern w:val="0"/>
          <w:sz w:val="30"/>
        </w:rPr>
      </w:pPr>
      <w:r>
        <w:rPr>
          <w:rFonts w:hint="eastAsia" w:hAnsi="宋体"/>
          <w:kern w:val="0"/>
          <w:sz w:val="30"/>
        </w:rPr>
        <w:t>日  期：</w:t>
      </w:r>
      <w:r>
        <w:rPr>
          <w:rFonts w:hint="eastAsia" w:hAnsi="宋体"/>
          <w:kern w:val="0"/>
          <w:sz w:val="30"/>
          <w:u w:val="single"/>
        </w:rPr>
        <w:t xml:space="preserve">          年     月    日</w:t>
      </w:r>
    </w:p>
    <w:p w14:paraId="36BEF0DE">
      <w:pPr>
        <w:keepNext/>
        <w:keepLines/>
        <w:tabs>
          <w:tab w:val="left" w:pos="720"/>
        </w:tabs>
        <w:spacing w:before="260" w:after="260" w:line="413" w:lineRule="auto"/>
        <w:outlineLvl w:val="2"/>
        <w:rPr>
          <w:rFonts w:hint="eastAsia" w:ascii="宋体" w:hAnsi="宋体"/>
          <w:b/>
          <w:sz w:val="32"/>
        </w:rPr>
      </w:pPr>
      <w:r>
        <w:rPr>
          <w:rFonts w:eastAsia="仿宋_GB2312"/>
          <w:color w:val="000000"/>
          <w:sz w:val="32"/>
          <w:szCs w:val="32"/>
        </w:rPr>
        <w:br w:type="page"/>
      </w:r>
      <w:bookmarkStart w:id="5" w:name="_Toc206142697"/>
      <w:bookmarkStart w:id="6" w:name="_Toc367273902"/>
      <w:bookmarkStart w:id="7" w:name="_Toc371174877"/>
      <w:bookmarkStart w:id="8" w:name="_Toc309224393"/>
      <w:bookmarkStart w:id="9" w:name="_Toc367273960"/>
      <w:bookmarkStart w:id="10" w:name="_Toc188989187"/>
      <w:bookmarkStart w:id="11" w:name="_Toc417479595"/>
      <w:bookmarkStart w:id="12" w:name="_Toc289852510"/>
      <w:bookmarkStart w:id="13" w:name="_Toc222777564"/>
      <w:bookmarkStart w:id="14" w:name="_Toc369339230"/>
      <w:r>
        <w:rPr>
          <w:rFonts w:hint="eastAsia" w:ascii="宋体" w:hAnsi="宋体"/>
          <w:b/>
          <w:sz w:val="32"/>
        </w:rPr>
        <w:t>附件：</w:t>
      </w:r>
      <w:bookmarkEnd w:id="5"/>
      <w:bookmarkEnd w:id="6"/>
      <w:bookmarkEnd w:id="7"/>
      <w:bookmarkEnd w:id="8"/>
      <w:bookmarkEnd w:id="9"/>
      <w:bookmarkEnd w:id="10"/>
      <w:bookmarkEnd w:id="11"/>
      <w:bookmarkEnd w:id="12"/>
      <w:bookmarkEnd w:id="13"/>
      <w:bookmarkEnd w:id="14"/>
      <w:r>
        <w:rPr>
          <w:rFonts w:hint="eastAsia" w:ascii="宋体" w:hAnsi="宋体"/>
          <w:b/>
          <w:sz w:val="32"/>
        </w:rPr>
        <w:t xml:space="preserve"> 投标人资格审查资料（加盖公章）</w:t>
      </w:r>
    </w:p>
    <w:p w14:paraId="562B44E5">
      <w:pPr>
        <w:numPr>
          <w:ilvl w:val="0"/>
          <w:numId w:val="4"/>
        </w:numPr>
        <w:spacing w:line="600" w:lineRule="exact"/>
        <w:ind w:firstLine="640" w:firstLineChars="200"/>
        <w:rPr>
          <w:rFonts w:eastAsia="仿宋_GB2312"/>
          <w:sz w:val="32"/>
          <w:szCs w:val="32"/>
        </w:rPr>
      </w:pPr>
      <w:r>
        <w:rPr>
          <w:rFonts w:hint="eastAsia" w:eastAsia="仿宋_GB2312"/>
          <w:sz w:val="32"/>
          <w:szCs w:val="32"/>
        </w:rPr>
        <w:t>报价函（模板）及报价清单；</w:t>
      </w:r>
    </w:p>
    <w:p w14:paraId="54FEF3A2">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、法人证明（模板）以及法定代表人身份证复印件；</w:t>
      </w:r>
    </w:p>
    <w:p w14:paraId="53D58403">
      <w:pPr>
        <w:spacing w:line="60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、法人授权书（模板）及被委托人身份证复印件；</w:t>
      </w:r>
    </w:p>
    <w:p w14:paraId="41365216">
      <w:pPr>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、承诺函（模板）；</w:t>
      </w:r>
    </w:p>
    <w:p w14:paraId="1E642EAF">
      <w:pPr>
        <w:spacing w:line="600" w:lineRule="exact"/>
        <w:ind w:firstLine="640" w:firstLineChars="200"/>
      </w:pPr>
      <w:r>
        <w:rPr>
          <w:rFonts w:hint="eastAsia" w:eastAsia="仿宋_GB2312"/>
          <w:sz w:val="32"/>
          <w:szCs w:val="32"/>
        </w:rPr>
        <w:t>5、电子税务局纳税人信息截图；</w:t>
      </w:r>
    </w:p>
    <w:p w14:paraId="177E3377">
      <w:pPr>
        <w:spacing w:line="600" w:lineRule="exact"/>
        <w:ind w:firstLine="640" w:firstLineChars="200"/>
        <w:rPr>
          <w:rFonts w:eastAsia="仿宋_GB2312"/>
          <w:sz w:val="32"/>
          <w:szCs w:val="32"/>
        </w:rPr>
      </w:pPr>
      <w:r>
        <w:rPr>
          <w:rFonts w:hint="eastAsia" w:eastAsia="仿宋_GB2312"/>
          <w:sz w:val="32"/>
          <w:szCs w:val="32"/>
        </w:rPr>
        <w:t>6、响应人认为需要提供的其他资料</w:t>
      </w:r>
    </w:p>
    <w:p w14:paraId="045FBA82">
      <w:pPr>
        <w:spacing w:line="600" w:lineRule="exact"/>
        <w:ind w:firstLine="960" w:firstLineChars="300"/>
        <w:rPr>
          <w:rFonts w:eastAsia="仿宋_GB2312"/>
        </w:rPr>
      </w:pPr>
      <w:r>
        <w:rPr>
          <w:rFonts w:hint="eastAsia" w:eastAsia="仿宋_GB2312"/>
          <w:sz w:val="32"/>
          <w:szCs w:val="32"/>
        </w:rPr>
        <w:t>（可提供财务报表或业绩合同等资料作为辅助参考）。</w:t>
      </w:r>
    </w:p>
    <w:p w14:paraId="6782B2EA">
      <w:pPr>
        <w:pStyle w:val="29"/>
        <w:rPr>
          <w:rFonts w:eastAsia="仿宋_GB2312"/>
        </w:rPr>
      </w:pPr>
    </w:p>
    <w:p w14:paraId="1C16A2DC">
      <w:pPr>
        <w:spacing w:before="166" w:beforeLines="50" w:after="166" w:afterLines="50" w:line="360" w:lineRule="auto"/>
        <w:contextualSpacing/>
      </w:pPr>
    </w:p>
    <w:p w14:paraId="2B72A252">
      <w:pPr>
        <w:pStyle w:val="23"/>
        <w:ind w:firstLine="560"/>
      </w:pPr>
    </w:p>
    <w:p w14:paraId="67C9F9CE">
      <w:pPr>
        <w:pStyle w:val="23"/>
        <w:ind w:firstLine="0" w:firstLineChars="0"/>
      </w:pPr>
    </w:p>
    <w:p w14:paraId="4A8141C1"/>
    <w:p w14:paraId="5BC474DC">
      <w:pPr>
        <w:widowControl/>
        <w:adjustRightInd w:val="0"/>
        <w:snapToGrid w:val="0"/>
        <w:spacing w:before="166" w:beforeLines="50" w:after="166" w:afterLines="50" w:line="336" w:lineRule="auto"/>
        <w:rPr>
          <w:rFonts w:hint="eastAsia" w:ascii="仿宋" w:hAnsi="仿宋" w:eastAsia="仿宋" w:cs="仿宋"/>
          <w:b/>
          <w:sz w:val="24"/>
        </w:rPr>
      </w:pPr>
    </w:p>
    <w:sectPr>
      <w:pgSz w:w="11907" w:h="16840"/>
      <w:pgMar w:top="1135" w:right="1134" w:bottom="851"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etaPlusLF">
    <w:altName w:val="Times New Roman"/>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2EE01">
    <w:pPr>
      <w:pStyle w:val="15"/>
      <w:jc w:val="cente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72B3E9F">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14:paraId="272B3E9F">
                    <w:pPr>
                      <w:pStyle w:val="15"/>
                    </w:pPr>
                    <w:r>
                      <w:fldChar w:fldCharType="begin"/>
                    </w:r>
                    <w:r>
                      <w:instrText xml:space="preserve"> PAGE  \* MERGEFORMAT </w:instrText>
                    </w:r>
                    <w:r>
                      <w:fldChar w:fldCharType="separate"/>
                    </w:r>
                    <w:r>
                      <w:t>1</w:t>
                    </w:r>
                    <w:r>
                      <w:fldChar w:fldCharType="end"/>
                    </w:r>
                  </w:p>
                </w:txbxContent>
              </v:textbox>
            </v:rect>
          </w:pict>
        </mc:Fallback>
      </mc:AlternateContent>
    </w:r>
  </w:p>
  <w:p w14:paraId="0D41674C">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D50B8">
    <w:pPr>
      <w:pStyle w:val="1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893AFFA">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5893AFFA">
                    <w:pPr>
                      <w:pStyle w:val="15"/>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47496">
    <w:pPr>
      <w:pStyle w:val="15"/>
      <w:jc w:val="center"/>
    </w:pPr>
    <w:r>
      <w:rPr>
        <w:lang w:val="zh-CN"/>
      </w:rPr>
      <w:t xml:space="preserve"> </w:t>
    </w:r>
    <w:r>
      <w:rPr>
        <w:b/>
        <w:bCs/>
      </w:rPr>
      <w:fldChar w:fldCharType="begin"/>
    </w:r>
    <w:r>
      <w:rPr>
        <w:b/>
        <w:bCs/>
      </w:rPr>
      <w:instrText xml:space="preserve">PAGE</w:instrText>
    </w:r>
    <w:r>
      <w:rPr>
        <w:b/>
        <w:bCs/>
      </w:rPr>
      <w:fldChar w:fldCharType="separate"/>
    </w:r>
    <w:r>
      <w:rPr>
        <w:b/>
        <w:bCs/>
      </w:rPr>
      <w:t>6</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36</w:t>
    </w:r>
    <w:r>
      <w:rPr>
        <w:b/>
        <w:bCs/>
      </w:rPr>
      <w:fldChar w:fldCharType="end"/>
    </w:r>
  </w:p>
  <w:p w14:paraId="38998020">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6F77">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bullet"/>
      <w:pStyle w:val="60"/>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00000001"/>
    <w:multiLevelType w:val="singleLevel"/>
    <w:tmpl w:val="00000001"/>
    <w:lvl w:ilvl="0" w:tentative="0">
      <w:start w:val="1"/>
      <w:numFmt w:val="decimal"/>
      <w:suff w:val="nothing"/>
      <w:lvlText w:val="%1、"/>
      <w:lvlJc w:val="left"/>
      <w:rPr>
        <w:rFonts w:cs="Times New Roman"/>
      </w:rPr>
    </w:lvl>
  </w:abstractNum>
  <w:abstractNum w:abstractNumId="2">
    <w:nsid w:val="00000002"/>
    <w:multiLevelType w:val="singleLevel"/>
    <w:tmpl w:val="00000002"/>
    <w:lvl w:ilvl="0" w:tentative="0">
      <w:start w:val="1"/>
      <w:numFmt w:val="decimal"/>
      <w:suff w:val="nothing"/>
      <w:lvlText w:val="%1、"/>
      <w:lvlJc w:val="left"/>
      <w:rPr>
        <w:rFonts w:cs="Times New Roman"/>
      </w:rPr>
    </w:lvl>
  </w:abstractNum>
  <w:abstractNum w:abstractNumId="3">
    <w:nsid w:val="00000003"/>
    <w:multiLevelType w:val="multilevel"/>
    <w:tmpl w:val="00000003"/>
    <w:lvl w:ilvl="0" w:tentative="0">
      <w:start w:val="1"/>
      <w:numFmt w:val="japaneseCounting"/>
      <w:pStyle w:val="51"/>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dit="readOnly" w:formatting="1" w:enforcement="0"/>
  <w:defaultTabStop w:val="420"/>
  <w:drawingGridVerticalSpacing w:val="15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2787DAE"/>
    <w:rsid w:val="68B3285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3"/>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sz w:val="28"/>
    </w:rPr>
  </w:style>
  <w:style w:type="character" w:default="1" w:styleId="26">
    <w:name w:val="Default Paragraph Font"/>
    <w:qFormat/>
    <w:uiPriority w:val="1"/>
  </w:style>
  <w:style w:type="table" w:default="1" w:styleId="24">
    <w:name w:val="Normal Table"/>
    <w:qFormat/>
    <w:uiPriority w:val="99"/>
    <w:tblPr>
      <w:tblCellMar>
        <w:top w:w="0" w:type="dxa"/>
        <w:left w:w="108" w:type="dxa"/>
        <w:bottom w:w="0" w:type="dxa"/>
        <w:right w:w="108" w:type="dxa"/>
      </w:tblCellMar>
    </w:tblPr>
  </w:style>
  <w:style w:type="paragraph" w:styleId="7">
    <w:name w:val="Normal Indent"/>
    <w:basedOn w:val="1"/>
    <w:link w:val="50"/>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34"/>
    <w:qFormat/>
    <w:uiPriority w:val="99"/>
    <w:rPr>
      <w:rFonts w:ascii="宋体"/>
      <w:sz w:val="18"/>
      <w:szCs w:val="18"/>
    </w:rPr>
  </w:style>
  <w:style w:type="paragraph" w:styleId="9">
    <w:name w:val="annotation text"/>
    <w:basedOn w:val="1"/>
    <w:link w:val="35"/>
    <w:qFormat/>
    <w:uiPriority w:val="99"/>
    <w:pPr>
      <w:jc w:val="left"/>
    </w:pPr>
  </w:style>
  <w:style w:type="paragraph" w:styleId="10">
    <w:name w:val="Body Text"/>
    <w:basedOn w:val="1"/>
    <w:link w:val="36"/>
    <w:qFormat/>
    <w:uiPriority w:val="99"/>
    <w:pPr>
      <w:spacing w:after="120"/>
    </w:pPr>
  </w:style>
  <w:style w:type="paragraph" w:styleId="11">
    <w:name w:val="Body Text Indent"/>
    <w:basedOn w:val="1"/>
    <w:next w:val="12"/>
    <w:qFormat/>
    <w:uiPriority w:val="0"/>
    <w:pPr>
      <w:spacing w:after="120"/>
      <w:ind w:left="420" w:leftChars="200"/>
    </w:pPr>
    <w:rPr>
      <w:rFonts w:eastAsia="宋体" w:cs="宋体"/>
      <w:kern w:val="0"/>
      <w:sz w:val="20"/>
    </w:rPr>
  </w:style>
  <w:style w:type="paragraph" w:styleId="12">
    <w:name w:val="envelope return"/>
    <w:basedOn w:val="1"/>
    <w:qFormat/>
    <w:uiPriority w:val="99"/>
    <w:rPr>
      <w:rFonts w:hint="eastAsia" w:ascii="Arial" w:hAnsi="Arial"/>
    </w:rPr>
  </w:style>
  <w:style w:type="paragraph" w:styleId="13">
    <w:name w:val="Plain Text"/>
    <w:basedOn w:val="1"/>
    <w:link w:val="52"/>
    <w:qFormat/>
    <w:uiPriority w:val="99"/>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7"/>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8">
    <w:name w:val="toc 6"/>
    <w:basedOn w:val="1"/>
    <w:next w:val="1"/>
    <w:qFormat/>
    <w:uiPriority w:val="0"/>
    <w:pPr>
      <w:ind w:left="1200"/>
    </w:pPr>
    <w:rPr>
      <w:rFonts w:ascii="Calibri" w:cs="Calibri"/>
      <w:sz w:val="18"/>
      <w:szCs w:val="18"/>
    </w:rPr>
  </w:style>
  <w:style w:type="paragraph" w:styleId="19">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9"/>
    <w:next w:val="9"/>
    <w:link w:val="57"/>
    <w:qFormat/>
    <w:uiPriority w:val="99"/>
    <w:rPr>
      <w:b/>
      <w:bCs/>
    </w:rPr>
  </w:style>
  <w:style w:type="paragraph" w:styleId="22">
    <w:name w:val="Body Text First Indent"/>
    <w:basedOn w:val="10"/>
    <w:link w:val="40"/>
    <w:qFormat/>
    <w:uiPriority w:val="99"/>
    <w:pPr>
      <w:widowControl/>
      <w:ind w:firstLine="420" w:firstLineChars="100"/>
    </w:pPr>
    <w:rPr>
      <w:rFonts w:ascii="Calibri" w:hAnsi="Calibri" w:cs="宋体"/>
      <w:szCs w:val="22"/>
    </w:rPr>
  </w:style>
  <w:style w:type="paragraph" w:styleId="23">
    <w:name w:val="Body Text First Indent 2"/>
    <w:basedOn w:val="11"/>
    <w:qFormat/>
    <w:uiPriority w:val="0"/>
    <w:pPr>
      <w:snapToGrid w:val="0"/>
      <w:spacing w:line="360" w:lineRule="auto"/>
      <w:ind w:left="0" w:leftChars="0" w:firstLine="420" w:firstLineChars="200"/>
    </w:pPr>
    <w:rPr>
      <w:rFonts w:ascii="Tahoma" w:hAnsi="Tahoma" w:eastAsia="宋体"/>
      <w:sz w:val="28"/>
    </w:r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qFormat/>
    <w:uiPriority w:val="99"/>
    <w:rPr>
      <w:rFonts w:cs="Times New Roman"/>
      <w:color w:val="0000FF"/>
      <w:u w:val="single"/>
    </w:rPr>
  </w:style>
  <w:style w:type="character" w:styleId="28">
    <w:name w:val="annotation reference"/>
    <w:basedOn w:val="26"/>
    <w:qFormat/>
    <w:uiPriority w:val="99"/>
    <w:rPr>
      <w:rFonts w:cs="Times New Roman"/>
      <w:sz w:val="21"/>
      <w:szCs w:val="21"/>
    </w:rPr>
  </w:style>
  <w:style w:type="paragraph" w:customStyle="1" w:styleId="29">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30">
    <w:name w:val="标题 1 字符"/>
    <w:basedOn w:val="26"/>
    <w:link w:val="2"/>
    <w:qFormat/>
    <w:uiPriority w:val="99"/>
    <w:rPr>
      <w:rFonts w:ascii="Times New Roman" w:hAnsi="Times New Roman" w:eastAsia="宋体" w:cs="Times New Roman"/>
      <w:b/>
      <w:bCs/>
      <w:kern w:val="44"/>
      <w:sz w:val="44"/>
      <w:szCs w:val="44"/>
    </w:rPr>
  </w:style>
  <w:style w:type="character" w:customStyle="1" w:styleId="31">
    <w:name w:val="标题 2 字符"/>
    <w:basedOn w:val="26"/>
    <w:link w:val="3"/>
    <w:qFormat/>
    <w:uiPriority w:val="99"/>
    <w:rPr>
      <w:rFonts w:ascii="Cambria" w:hAnsi="Cambria" w:eastAsia="宋体" w:cs="Times New Roman"/>
      <w:b/>
      <w:bCs/>
      <w:kern w:val="2"/>
      <w:sz w:val="32"/>
      <w:szCs w:val="32"/>
    </w:rPr>
  </w:style>
  <w:style w:type="character" w:customStyle="1" w:styleId="32">
    <w:name w:val="标题 3 字符"/>
    <w:basedOn w:val="26"/>
    <w:link w:val="4"/>
    <w:qFormat/>
    <w:uiPriority w:val="99"/>
    <w:rPr>
      <w:rFonts w:eastAsia="宋体" w:cs="Times New Roman"/>
      <w:b/>
      <w:sz w:val="32"/>
    </w:rPr>
  </w:style>
  <w:style w:type="character" w:customStyle="1" w:styleId="33">
    <w:name w:val="标题 4 字符1"/>
    <w:basedOn w:val="26"/>
    <w:link w:val="5"/>
    <w:qFormat/>
    <w:uiPriority w:val="99"/>
    <w:rPr>
      <w:rFonts w:ascii="Arial" w:hAnsi="Arial" w:eastAsia="黑体" w:cs="Times New Roman"/>
      <w:b/>
      <w:bCs/>
      <w:kern w:val="2"/>
      <w:sz w:val="28"/>
      <w:szCs w:val="28"/>
    </w:rPr>
  </w:style>
  <w:style w:type="character" w:customStyle="1" w:styleId="34">
    <w:name w:val="文档结构图 字符"/>
    <w:basedOn w:val="26"/>
    <w:link w:val="8"/>
    <w:qFormat/>
    <w:uiPriority w:val="99"/>
    <w:rPr>
      <w:rFonts w:ascii="宋体" w:hAnsi="Times New Roman" w:eastAsia="宋体" w:cs="Times New Roman"/>
      <w:kern w:val="2"/>
      <w:sz w:val="18"/>
      <w:szCs w:val="18"/>
    </w:rPr>
  </w:style>
  <w:style w:type="character" w:customStyle="1" w:styleId="35">
    <w:name w:val="批注文字 字符"/>
    <w:basedOn w:val="26"/>
    <w:link w:val="9"/>
    <w:qFormat/>
    <w:uiPriority w:val="99"/>
    <w:rPr>
      <w:rFonts w:ascii="Times New Roman" w:hAnsi="Times New Roman" w:cs="Times New Roman"/>
      <w:kern w:val="2"/>
      <w:sz w:val="21"/>
    </w:rPr>
  </w:style>
  <w:style w:type="character" w:customStyle="1" w:styleId="36">
    <w:name w:val="正文文本 字符"/>
    <w:basedOn w:val="26"/>
    <w:link w:val="10"/>
    <w:qFormat/>
    <w:uiPriority w:val="99"/>
    <w:rPr>
      <w:rFonts w:ascii="Times New Roman" w:hAnsi="Times New Roman" w:eastAsia="宋体" w:cs="Times New Roman"/>
      <w:sz w:val="20"/>
      <w:szCs w:val="20"/>
    </w:rPr>
  </w:style>
  <w:style w:type="character" w:customStyle="1" w:styleId="37">
    <w:name w:val="批注框文本 字符"/>
    <w:basedOn w:val="26"/>
    <w:link w:val="14"/>
    <w:qFormat/>
    <w:uiPriority w:val="99"/>
    <w:rPr>
      <w:rFonts w:ascii="Times New Roman" w:hAnsi="Times New Roman" w:eastAsia="宋体" w:cs="Times New Roman"/>
      <w:kern w:val="2"/>
      <w:sz w:val="18"/>
      <w:szCs w:val="18"/>
    </w:rPr>
  </w:style>
  <w:style w:type="character" w:customStyle="1" w:styleId="38">
    <w:name w:val="页脚 字符"/>
    <w:basedOn w:val="26"/>
    <w:link w:val="15"/>
    <w:qFormat/>
    <w:uiPriority w:val="99"/>
    <w:rPr>
      <w:rFonts w:ascii="Times New Roman" w:hAnsi="Times New Roman" w:eastAsia="宋体" w:cs="Times New Roman"/>
      <w:sz w:val="18"/>
      <w:szCs w:val="18"/>
    </w:rPr>
  </w:style>
  <w:style w:type="character" w:customStyle="1" w:styleId="39">
    <w:name w:val="页眉 字符"/>
    <w:basedOn w:val="26"/>
    <w:link w:val="16"/>
    <w:qFormat/>
    <w:uiPriority w:val="99"/>
    <w:rPr>
      <w:rFonts w:ascii="Times New Roman" w:hAnsi="Times New Roman" w:eastAsia="宋体" w:cs="Times New Roman"/>
      <w:sz w:val="18"/>
      <w:szCs w:val="18"/>
    </w:rPr>
  </w:style>
  <w:style w:type="character" w:customStyle="1" w:styleId="40">
    <w:name w:val="正文文本首行缩进 字符"/>
    <w:basedOn w:val="36"/>
    <w:link w:val="22"/>
    <w:qFormat/>
    <w:uiPriority w:val="99"/>
    <w:rPr>
      <w:rFonts w:ascii="Times New Roman" w:hAnsi="Times New Roman" w:eastAsia="宋体" w:cs="Times New Roman"/>
      <w:sz w:val="20"/>
      <w:szCs w:val="20"/>
    </w:rPr>
  </w:style>
  <w:style w:type="character" w:customStyle="1" w:styleId="41">
    <w:name w:val="正文缩进2格 Char"/>
    <w:link w:val="42"/>
    <w:qFormat/>
    <w:uiPriority w:val="99"/>
    <w:rPr>
      <w:rFonts w:ascii="仿宋_GB2312" w:hAnsi="宋体" w:eastAsia="仿宋_GB2312"/>
      <w:sz w:val="31"/>
    </w:rPr>
  </w:style>
  <w:style w:type="paragraph" w:customStyle="1" w:styleId="42">
    <w:name w:val="正文缩进2格"/>
    <w:basedOn w:val="1"/>
    <w:link w:val="41"/>
    <w:qFormat/>
    <w:uiPriority w:val="99"/>
    <w:pPr>
      <w:spacing w:line="600" w:lineRule="exact"/>
      <w:ind w:firstLine="639" w:firstLineChars="206"/>
    </w:pPr>
    <w:rPr>
      <w:rFonts w:ascii="仿宋_GB2312" w:hAnsi="宋体" w:eastAsia="仿宋_GB2312"/>
      <w:kern w:val="0"/>
      <w:sz w:val="31"/>
      <w:szCs w:val="31"/>
    </w:rPr>
  </w:style>
  <w:style w:type="paragraph" w:customStyle="1" w:styleId="43">
    <w:name w:val="列出段落1"/>
    <w:basedOn w:val="1"/>
    <w:qFormat/>
    <w:uiPriority w:val="99"/>
    <w:pPr>
      <w:ind w:firstLine="420" w:firstLineChars="200"/>
    </w:pPr>
  </w:style>
  <w:style w:type="paragraph" w:customStyle="1" w:styleId="44">
    <w:name w:val="列出段落2"/>
    <w:basedOn w:val="1"/>
    <w:qFormat/>
    <w:uiPriority w:val="99"/>
    <w:pPr>
      <w:ind w:firstLine="420" w:firstLineChars="200"/>
    </w:pPr>
  </w:style>
  <w:style w:type="paragraph" w:styleId="45">
    <w:name w:val="List Paragraph"/>
    <w:basedOn w:val="1"/>
    <w:qFormat/>
    <w:uiPriority w:val="99"/>
    <w:pPr>
      <w:ind w:firstLine="420" w:firstLineChars="200"/>
    </w:pPr>
  </w:style>
  <w:style w:type="character" w:customStyle="1" w:styleId="46">
    <w:name w:val="fontstyle01"/>
    <w:basedOn w:val="26"/>
    <w:qFormat/>
    <w:uiPriority w:val="99"/>
    <w:rPr>
      <w:rFonts w:ascii="仿宋" w:hAnsi="仿宋" w:eastAsia="仿宋" w:cs="Times New Roman"/>
      <w:color w:val="000000"/>
      <w:sz w:val="28"/>
      <w:szCs w:val="28"/>
    </w:rPr>
  </w:style>
  <w:style w:type="character" w:customStyle="1" w:styleId="47">
    <w:name w:val="！正文 Char"/>
    <w:link w:val="48"/>
    <w:qFormat/>
    <w:uiPriority w:val="99"/>
    <w:rPr>
      <w:rFonts w:ascii="Arial" w:hAnsi="Arial"/>
      <w:sz w:val="24"/>
    </w:rPr>
  </w:style>
  <w:style w:type="paragraph" w:customStyle="1" w:styleId="48">
    <w:name w:val="！正文"/>
    <w:basedOn w:val="1"/>
    <w:link w:val="47"/>
    <w:qFormat/>
    <w:uiPriority w:val="99"/>
    <w:pPr>
      <w:spacing w:line="360" w:lineRule="auto"/>
      <w:ind w:firstLine="200" w:firstLineChars="200"/>
    </w:pPr>
    <w:rPr>
      <w:rFonts w:ascii="Arial" w:hAnsi="Arial" w:eastAsia="等线"/>
      <w:kern w:val="0"/>
      <w:sz w:val="24"/>
      <w:szCs w:val="24"/>
    </w:rPr>
  </w:style>
  <w:style w:type="paragraph" w:customStyle="1" w:styleId="49">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50">
    <w:name w:val="正文缩进 字符"/>
    <w:link w:val="7"/>
    <w:qFormat/>
    <w:uiPriority w:val="99"/>
    <w:rPr>
      <w:sz w:val="24"/>
    </w:rPr>
  </w:style>
  <w:style w:type="paragraph" w:customStyle="1" w:styleId="51">
    <w:name w:val="标准书脚_奇数页"/>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52">
    <w:name w:val="纯文本 字符"/>
    <w:basedOn w:val="26"/>
    <w:link w:val="13"/>
    <w:qFormat/>
    <w:uiPriority w:val="99"/>
    <w:rPr>
      <w:rFonts w:ascii="宋体" w:hAnsi="Courier New" w:eastAsia="宋体" w:cs="Times New Roman"/>
      <w:kern w:val="2"/>
      <w:sz w:val="21"/>
      <w:szCs w:val="21"/>
    </w:rPr>
  </w:style>
  <w:style w:type="character" w:customStyle="1" w:styleId="53">
    <w:name w:val="未处理的提及1"/>
    <w:basedOn w:val="26"/>
    <w:qFormat/>
    <w:uiPriority w:val="99"/>
    <w:rPr>
      <w:rFonts w:cs="Times New Roman"/>
      <w:color w:val="605E5C"/>
      <w:shd w:val="clear" w:color="auto" w:fill="E1DFDD"/>
    </w:rPr>
  </w:style>
  <w:style w:type="paragraph" w:customStyle="1" w:styleId="54">
    <w:name w:val="样式"/>
    <w:basedOn w:val="1"/>
    <w:next w:val="45"/>
    <w:qFormat/>
    <w:uiPriority w:val="99"/>
    <w:pPr>
      <w:ind w:firstLine="420" w:firstLineChars="200"/>
    </w:pPr>
    <w:rPr>
      <w:rFonts w:ascii="Calibri" w:hAnsi="Calibri"/>
      <w:szCs w:val="22"/>
    </w:rPr>
  </w:style>
  <w:style w:type="character" w:customStyle="1" w:styleId="55">
    <w:name w:val="Body Text Indent 2 Char Char"/>
    <w:link w:val="56"/>
    <w:qFormat/>
    <w:uiPriority w:val="99"/>
  </w:style>
  <w:style w:type="paragraph" w:customStyle="1" w:styleId="56">
    <w:name w:val="正文文本缩进 21"/>
    <w:basedOn w:val="1"/>
    <w:link w:val="55"/>
    <w:qFormat/>
    <w:uiPriority w:val="99"/>
    <w:pPr>
      <w:adjustRightInd w:val="0"/>
      <w:spacing w:line="480" w:lineRule="auto"/>
      <w:ind w:firstLine="540"/>
    </w:pPr>
    <w:rPr>
      <w:rFonts w:ascii="Calibri" w:hAnsi="Calibri" w:eastAsia="等线"/>
      <w:kern w:val="0"/>
      <w:sz w:val="20"/>
    </w:rPr>
  </w:style>
  <w:style w:type="character" w:customStyle="1" w:styleId="57">
    <w:name w:val="批注主题 字符"/>
    <w:basedOn w:val="35"/>
    <w:link w:val="21"/>
    <w:qFormat/>
    <w:uiPriority w:val="99"/>
    <w:rPr>
      <w:rFonts w:ascii="Times New Roman" w:hAnsi="Times New Roman" w:eastAsia="宋体" w:cs="Times New Roman"/>
      <w:b/>
      <w:bCs/>
      <w:kern w:val="2"/>
      <w:sz w:val="21"/>
    </w:rPr>
  </w:style>
  <w:style w:type="character" w:customStyle="1" w:styleId="58">
    <w:name w:val="标题 4 字符"/>
    <w:basedOn w:val="26"/>
    <w:qFormat/>
    <w:uiPriority w:val="99"/>
    <w:rPr>
      <w:rFonts w:ascii="Cambria" w:hAnsi="Cambria" w:eastAsia="宋体" w:cs="Times New Roman"/>
      <w:b/>
      <w:bCs/>
      <w:kern w:val="2"/>
      <w:sz w:val="28"/>
      <w:szCs w:val="28"/>
    </w:rPr>
  </w:style>
  <w:style w:type="paragraph" w:customStyle="1" w:styleId="59">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60">
    <w:name w:val="致远要点"/>
    <w:basedOn w:val="45"/>
    <w:link w:val="61"/>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61">
    <w:name w:val="致远要点 字符"/>
    <w:basedOn w:val="26"/>
    <w:link w:val="60"/>
    <w:qFormat/>
    <w:uiPriority w:val="99"/>
    <w:rPr>
      <w:rFonts w:ascii="黑体" w:hAnsi="黑体" w:eastAsia="黑体" w:cs="宋体"/>
      <w:kern w:val="2"/>
      <w:sz w:val="22"/>
      <w:szCs w:val="22"/>
    </w:rPr>
  </w:style>
  <w:style w:type="paragraph" w:customStyle="1" w:styleId="62">
    <w:name w:val="SANGFOR_6_正文"/>
    <w:basedOn w:val="1"/>
    <w:qFormat/>
    <w:uiPriority w:val="99"/>
    <w:pPr>
      <w:spacing w:line="360" w:lineRule="auto"/>
    </w:pPr>
    <w:rPr>
      <w:szCs w:val="24"/>
    </w:rPr>
  </w:style>
  <w:style w:type="character" w:customStyle="1" w:styleId="63">
    <w:name w:val="font51"/>
    <w:basedOn w:val="26"/>
    <w:qFormat/>
    <w:uiPriority w:val="0"/>
    <w:rPr>
      <w:rFonts w:hint="default" w:ascii="Times New Roman" w:hAnsi="Times New Roman" w:cs="Times New Roman"/>
      <w:b/>
      <w:bCs/>
      <w:color w:val="000000"/>
      <w:sz w:val="22"/>
      <w:szCs w:val="22"/>
      <w:u w:val="none"/>
    </w:rPr>
  </w:style>
  <w:style w:type="character" w:customStyle="1" w:styleId="64">
    <w:name w:val="font21"/>
    <w:basedOn w:val="26"/>
    <w:qFormat/>
    <w:uiPriority w:val="0"/>
    <w:rPr>
      <w:rFonts w:hint="eastAsia" w:ascii="宋体" w:hAnsi="宋体" w:eastAsia="宋体" w:cs="宋体"/>
      <w:color w:val="000000"/>
      <w:sz w:val="21"/>
      <w:szCs w:val="21"/>
      <w:u w:val="none"/>
    </w:rPr>
  </w:style>
  <w:style w:type="character" w:customStyle="1" w:styleId="65">
    <w:name w:val="font41"/>
    <w:basedOn w:val="26"/>
    <w:qFormat/>
    <w:uiPriority w:val="0"/>
    <w:rPr>
      <w:rFonts w:hint="eastAsia" w:ascii="宋体" w:hAnsi="宋体" w:eastAsia="宋体" w:cs="宋体"/>
      <w:b/>
      <w:bCs/>
      <w:color w:val="000000"/>
      <w:sz w:val="21"/>
      <w:szCs w:val="21"/>
      <w:u w:val="none"/>
    </w:rPr>
  </w:style>
  <w:style w:type="paragraph" w:customStyle="1" w:styleId="66">
    <w:name w:val="Char"/>
    <w:basedOn w:val="1"/>
    <w:qFormat/>
    <w:uiPriority w:val="0"/>
  </w:style>
  <w:style w:type="paragraph" w:customStyle="1" w:styleId="67">
    <w:name w:val="标题 3.1"/>
    <w:basedOn w:val="4"/>
    <w:qFormat/>
    <w:uiPriority w:val="0"/>
    <w:pPr>
      <w:tabs>
        <w:tab w:val="left" w:pos="1440"/>
        <w:tab w:val="left" w:pos="1620"/>
      </w:tabs>
      <w:spacing w:line="600" w:lineRule="exact"/>
    </w:pPr>
    <w:rPr>
      <w:color w:val="FF0000"/>
      <w:szCs w:val="20"/>
    </w:rPr>
  </w:style>
  <w:style w:type="paragraph" w:customStyle="1" w:styleId="68">
    <w:name w:val="xl39"/>
    <w:basedOn w:val="1"/>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21</Pages>
  <Words>5969</Words>
  <Characters>6179</Characters>
  <Paragraphs>355</Paragraphs>
  <TotalTime>14</TotalTime>
  <ScaleCrop>false</ScaleCrop>
  <LinksUpToDate>false</LinksUpToDate>
  <CharactersWithSpaces>6392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2023-09-12T10:55:00Z</dcterms:created>
  <dc:creator>Administrator</dc:creator>
  <cp:lastModifiedBy>lenovo</cp:lastModifiedBy>
  <cp:lastPrinted>2024-09-27T00:54:00Z</cp:lastPrinted>
  <dcterms:modified xsi:type="dcterms:W3CDTF">2025-10-27T04:45:51Z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F11D71DC27F443BEB4F98A1F90CC7118_13</vt:lpwstr>
  </property>
  <property fmtid="{D5CDD505-2E9C-101B-9397-08002B2CF9AE}" pid="4" name="KSOTemplateDocerSaveRecord">
    <vt:lpwstr>eyJoZGlkIjoiMjIxZDQzZDEyZGU0NmM2OGIyYTg4N2VkMmIwODNhZDQiLCJ1c2VySWQiOiIxMTI4ODQwMjE2In0=</vt:lpwstr>
  </property>
</Properties>
</file>