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DB384">
      <w:pPr>
        <w:jc w:val="center"/>
        <w:rPr>
          <w:rFonts w:hint="eastAsia" w:ascii="仿宋_GB2312" w:hAnsi="仿宋_GB2312" w:eastAsia="仿宋_GB2312" w:cs="仿宋_GB2312"/>
          <w:color w:val="auto"/>
          <w:sz w:val="52"/>
          <w:szCs w:val="52"/>
        </w:rPr>
      </w:pPr>
    </w:p>
    <w:p w14:paraId="4E419B3C">
      <w:pPr>
        <w:jc w:val="center"/>
        <w:rPr>
          <w:rFonts w:hint="eastAsia" w:ascii="仿宋_GB2312" w:hAnsi="仿宋_GB2312" w:eastAsia="仿宋_GB2312" w:cs="仿宋_GB2312"/>
          <w:color w:val="auto"/>
          <w:sz w:val="52"/>
          <w:szCs w:val="52"/>
        </w:rPr>
      </w:pPr>
    </w:p>
    <w:p w14:paraId="345A0750">
      <w:pPr>
        <w:spacing w:line="360" w:lineRule="auto"/>
        <w:jc w:val="center"/>
        <w:rPr>
          <w:rFonts w:hint="eastAsia" w:ascii="宋体" w:hAnsi="宋体" w:eastAsia="宋体" w:cs="宋体"/>
          <w:b/>
          <w:bCs/>
          <w:color w:val="auto"/>
          <w:sz w:val="84"/>
        </w:rPr>
      </w:pPr>
      <w:r>
        <w:rPr>
          <w:rFonts w:hint="eastAsia" w:ascii="宋体" w:hAnsi="宋体" w:cs="宋体"/>
          <w:b w:val="0"/>
          <w:bCs w:val="0"/>
          <w:color w:val="auto"/>
          <w:sz w:val="84"/>
          <w:lang w:val="en-US" w:eastAsia="zh-CN"/>
        </w:rPr>
        <w:t>询</w:t>
      </w:r>
      <w:r>
        <w:rPr>
          <w:rFonts w:hint="eastAsia" w:ascii="宋体" w:hAnsi="宋体" w:eastAsia="宋体" w:cs="宋体"/>
          <w:b w:val="0"/>
          <w:bCs w:val="0"/>
          <w:color w:val="auto"/>
          <w:sz w:val="84"/>
        </w:rPr>
        <w:t xml:space="preserve">  </w:t>
      </w:r>
      <w:r>
        <w:rPr>
          <w:rFonts w:hint="eastAsia" w:ascii="宋体" w:hAnsi="宋体" w:cs="宋体"/>
          <w:b w:val="0"/>
          <w:bCs w:val="0"/>
          <w:color w:val="auto"/>
          <w:sz w:val="84"/>
          <w:lang w:val="en-US" w:eastAsia="zh-CN"/>
        </w:rPr>
        <w:t>价</w:t>
      </w:r>
      <w:r>
        <w:rPr>
          <w:rFonts w:hint="eastAsia" w:ascii="宋体" w:hAnsi="宋体" w:eastAsia="宋体" w:cs="宋体"/>
          <w:b w:val="0"/>
          <w:bCs w:val="0"/>
          <w:color w:val="auto"/>
          <w:sz w:val="84"/>
        </w:rPr>
        <w:t xml:space="preserve">  文  件</w:t>
      </w:r>
    </w:p>
    <w:p w14:paraId="13E228D0">
      <w:pPr>
        <w:rPr>
          <w:rFonts w:hint="eastAsia" w:ascii="仿宋_GB2312" w:hAnsi="仿宋_GB2312" w:eastAsia="仿宋_GB2312" w:cs="仿宋_GB2312"/>
          <w:color w:val="auto"/>
          <w:sz w:val="52"/>
          <w:szCs w:val="52"/>
        </w:rPr>
      </w:pPr>
    </w:p>
    <w:p w14:paraId="4E25F18B">
      <w:pPr>
        <w:jc w:val="center"/>
        <w:rPr>
          <w:rFonts w:hint="default" w:ascii="楷体_GB2312" w:hAnsi="楷体_GB2312" w:eastAsia="楷体_GB2312" w:cs="楷体_GB2312"/>
          <w:b w:val="0"/>
          <w:bCs/>
          <w:color w:val="auto"/>
          <w:sz w:val="32"/>
          <w:szCs w:val="32"/>
          <w:lang w:val="en-US" w:eastAsia="zh-CN"/>
        </w:rPr>
      </w:pPr>
      <w:r>
        <w:rPr>
          <w:rFonts w:hint="eastAsia" w:ascii="方正仿宋_GB2312" w:hAnsi="方正仿宋_GB2312" w:eastAsia="方正仿宋_GB2312" w:cs="方正仿宋_GB2312"/>
          <w:sz w:val="24"/>
          <w:szCs w:val="24"/>
          <w:lang w:val="en-US" w:eastAsia="zh-CN"/>
        </w:rPr>
        <w:t>城工集团公路工程施工总承包一级资质证书一年证换五年证咨询服务单位采购项目</w:t>
      </w:r>
    </w:p>
    <w:p w14:paraId="0D88ED40">
      <w:pPr>
        <w:jc w:val="center"/>
        <w:rPr>
          <w:rFonts w:hint="eastAsia" w:ascii="楷体_GB2312" w:hAnsi="楷体_GB2312" w:eastAsia="楷体_GB2312" w:cs="楷体_GB2312"/>
          <w:b w:val="0"/>
          <w:bCs/>
          <w:color w:val="auto"/>
          <w:sz w:val="32"/>
          <w:szCs w:val="32"/>
          <w:lang w:val="en-US" w:eastAsia="zh-CN"/>
        </w:rPr>
      </w:pPr>
    </w:p>
    <w:p w14:paraId="7EB79CCC">
      <w:pPr>
        <w:jc w:val="center"/>
        <w:rPr>
          <w:rFonts w:hint="default" w:ascii="仿宋_GB2312" w:hAnsi="仿宋_GB2312" w:eastAsia="仿宋_GB2312" w:cs="仿宋_GB2312"/>
          <w:bCs/>
          <w:color w:val="auto"/>
          <w:sz w:val="32"/>
          <w:u w:val="single"/>
          <w:lang w:val="en-US" w:eastAsia="zh-CN"/>
        </w:rPr>
      </w:pPr>
      <w:r>
        <w:rPr>
          <w:rFonts w:hint="eastAsia" w:ascii="仿宋_GB2312" w:hAnsi="仿宋_GB2312" w:eastAsia="仿宋_GB2312" w:cs="仿宋_GB2312"/>
          <w:bCs/>
          <w:color w:val="auto"/>
          <w:sz w:val="32"/>
        </w:rPr>
        <w:t>项目编号：</w:t>
      </w:r>
      <w:r>
        <w:rPr>
          <w:rFonts w:hint="eastAsia" w:ascii="仿宋_GB2312" w:hAnsi="仿宋_GB2312" w:eastAsia="仿宋_GB2312" w:cs="仿宋_GB2312"/>
          <w:bCs/>
          <w:color w:val="auto"/>
          <w:sz w:val="32"/>
          <w:u w:val="single"/>
        </w:rPr>
        <w:t xml:space="preserve"> ZBCG-20</w:t>
      </w:r>
      <w:r>
        <w:rPr>
          <w:rFonts w:hint="eastAsia" w:ascii="仿宋_GB2312" w:hAnsi="仿宋_GB2312" w:eastAsia="仿宋_GB2312" w:cs="仿宋_GB2312"/>
          <w:bCs/>
          <w:color w:val="auto"/>
          <w:sz w:val="32"/>
          <w:u w:val="single"/>
          <w:lang w:val="en-US" w:eastAsia="zh-CN"/>
        </w:rPr>
        <w:t>25</w:t>
      </w:r>
      <w:r>
        <w:rPr>
          <w:rFonts w:hint="eastAsia" w:ascii="仿宋_GB2312" w:hAnsi="仿宋_GB2312" w:eastAsia="仿宋_GB2312" w:cs="仿宋_GB2312"/>
          <w:bCs/>
          <w:color w:val="auto"/>
          <w:sz w:val="32"/>
          <w:u w:val="single"/>
        </w:rPr>
        <w:t>-</w:t>
      </w:r>
      <w:r>
        <w:rPr>
          <w:rFonts w:hint="eastAsia" w:ascii="仿宋_GB2312" w:hAnsi="仿宋_GB2312" w:eastAsia="仿宋_GB2312" w:cs="仿宋_GB2312"/>
          <w:bCs/>
          <w:color w:val="auto"/>
          <w:sz w:val="32"/>
          <w:u w:val="single"/>
          <w:lang w:val="en-US" w:eastAsia="zh-CN"/>
        </w:rPr>
        <w:t>229</w:t>
      </w:r>
    </w:p>
    <w:p w14:paraId="34BA6DFC">
      <w:pP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 xml:space="preserve"> </w:t>
      </w:r>
    </w:p>
    <w:p w14:paraId="79A9D761">
      <w:pPr>
        <w:spacing w:line="360" w:lineRule="auto"/>
        <w:jc w:val="center"/>
        <w:rPr>
          <w:rFonts w:hint="eastAsia" w:ascii="仿宋_GB2312" w:hAnsi="仿宋_GB2312" w:eastAsia="仿宋_GB2312" w:cs="仿宋_GB2312"/>
          <w:color w:val="auto"/>
        </w:rPr>
      </w:pPr>
    </w:p>
    <w:p w14:paraId="3368E6B7">
      <w:pPr>
        <w:spacing w:line="360" w:lineRule="auto"/>
        <w:jc w:val="center"/>
        <w:rPr>
          <w:rFonts w:hint="eastAsia" w:ascii="仿宋_GB2312" w:hAnsi="仿宋_GB2312" w:eastAsia="仿宋_GB2312" w:cs="仿宋_GB2312"/>
          <w:color w:val="auto"/>
        </w:rPr>
      </w:pPr>
    </w:p>
    <w:p w14:paraId="73813DE6">
      <w:pPr>
        <w:spacing w:line="360" w:lineRule="auto"/>
        <w:jc w:val="center"/>
        <w:rPr>
          <w:rFonts w:hint="eastAsia" w:ascii="仿宋_GB2312" w:hAnsi="仿宋_GB2312" w:eastAsia="仿宋_GB2312" w:cs="仿宋_GB2312"/>
          <w:color w:val="auto"/>
        </w:rPr>
      </w:pPr>
    </w:p>
    <w:p w14:paraId="47F3E5C0">
      <w:pPr>
        <w:spacing w:line="360" w:lineRule="auto"/>
        <w:rPr>
          <w:rFonts w:hint="eastAsia" w:ascii="仿宋_GB2312" w:hAnsi="仿宋_GB2312" w:eastAsia="仿宋_GB2312" w:cs="仿宋_GB2312"/>
          <w:bCs/>
          <w:color w:val="auto"/>
          <w:sz w:val="32"/>
        </w:rPr>
      </w:pPr>
    </w:p>
    <w:p w14:paraId="1808987A">
      <w:pPr>
        <w:spacing w:line="360" w:lineRule="auto"/>
        <w:rPr>
          <w:rFonts w:hint="eastAsia" w:ascii="仿宋_GB2312" w:hAnsi="仿宋_GB2312" w:eastAsia="仿宋_GB2312" w:cs="仿宋_GB2312"/>
          <w:bCs/>
          <w:color w:val="auto"/>
          <w:sz w:val="32"/>
        </w:rPr>
      </w:pPr>
    </w:p>
    <w:p w14:paraId="4E332B7F">
      <w:pPr>
        <w:spacing w:line="360" w:lineRule="auto"/>
        <w:rPr>
          <w:rFonts w:hint="eastAsia" w:ascii="仿宋_GB2312" w:hAnsi="仿宋_GB2312" w:eastAsia="仿宋_GB2312" w:cs="仿宋_GB2312"/>
          <w:bCs/>
          <w:color w:val="auto"/>
          <w:sz w:val="32"/>
        </w:rPr>
      </w:pPr>
    </w:p>
    <w:p w14:paraId="25D40660">
      <w:pPr>
        <w:spacing w:line="360" w:lineRule="auto"/>
        <w:rPr>
          <w:rFonts w:hint="eastAsia" w:ascii="仿宋_GB2312" w:hAnsi="仿宋_GB2312" w:eastAsia="仿宋_GB2312" w:cs="仿宋_GB2312"/>
          <w:bCs/>
          <w:color w:val="auto"/>
          <w:sz w:val="32"/>
        </w:rPr>
      </w:pPr>
    </w:p>
    <w:p w14:paraId="092C99C1">
      <w:pPr>
        <w:spacing w:line="360" w:lineRule="auto"/>
        <w:rPr>
          <w:rFonts w:hint="eastAsia" w:ascii="仿宋_GB2312" w:hAnsi="仿宋_GB2312" w:eastAsia="仿宋_GB2312" w:cs="仿宋_GB2312"/>
          <w:bCs/>
          <w:color w:val="auto"/>
          <w:sz w:val="32"/>
        </w:rPr>
      </w:pPr>
    </w:p>
    <w:p w14:paraId="1EDBFCFB">
      <w:pPr>
        <w:spacing w:line="360" w:lineRule="auto"/>
        <w:rPr>
          <w:rFonts w:hint="eastAsia" w:ascii="仿宋_GB2312" w:hAnsi="仿宋_GB2312" w:eastAsia="仿宋_GB2312" w:cs="仿宋_GB2312"/>
          <w:bCs/>
          <w:color w:val="auto"/>
          <w:sz w:val="32"/>
        </w:rPr>
      </w:pPr>
    </w:p>
    <w:p w14:paraId="30FC9C33">
      <w:pPr>
        <w:spacing w:line="360" w:lineRule="auto"/>
        <w:jc w:val="center"/>
        <w:rPr>
          <w:rFonts w:hint="eastAsia" w:ascii="仿宋_GB2312" w:hAnsi="仿宋_GB2312" w:eastAsia="仿宋_GB2312" w:cs="仿宋_GB2312"/>
          <w:bCs/>
          <w:color w:val="auto"/>
          <w:sz w:val="32"/>
          <w:highlight w:val="none"/>
        </w:rPr>
      </w:pPr>
      <w:r>
        <w:rPr>
          <w:rFonts w:hint="eastAsia" w:ascii="仿宋_GB2312" w:hAnsi="仿宋_GB2312" w:eastAsia="仿宋_GB2312" w:cs="仿宋_GB2312"/>
          <w:bCs/>
          <w:color w:val="auto"/>
          <w:sz w:val="32"/>
          <w:highlight w:val="none"/>
        </w:rPr>
        <w:t>东莞市城市工程建设集团有限公司</w:t>
      </w:r>
    </w:p>
    <w:p w14:paraId="33FBB4D9">
      <w:pPr>
        <w:spacing w:line="360" w:lineRule="auto"/>
        <w:ind w:left="538"/>
        <w:jc w:val="center"/>
        <w:rPr>
          <w:rFonts w:hint="eastAsia" w:ascii="仿宋_GB2312" w:hAnsi="仿宋_GB2312" w:eastAsia="仿宋_GB2312" w:cs="仿宋_GB2312"/>
          <w:b/>
          <w:bCs/>
          <w:color w:val="auto"/>
          <w:sz w:val="32"/>
        </w:rPr>
      </w:pPr>
      <w:r>
        <w:rPr>
          <w:rFonts w:hint="eastAsia" w:ascii="仿宋_GB2312" w:hAnsi="仿宋_GB2312" w:eastAsia="仿宋_GB2312" w:cs="仿宋_GB2312"/>
          <w:bCs/>
          <w:color w:val="auto"/>
          <w:sz w:val="32"/>
        </w:rPr>
        <w:t>20</w:t>
      </w:r>
      <w:r>
        <w:rPr>
          <w:rFonts w:hint="eastAsia" w:ascii="仿宋_GB2312" w:hAnsi="仿宋_GB2312" w:eastAsia="仿宋_GB2312" w:cs="仿宋_GB2312"/>
          <w:bCs/>
          <w:color w:val="auto"/>
          <w:sz w:val="32"/>
          <w:lang w:val="en-US" w:eastAsia="zh-CN"/>
        </w:rPr>
        <w:t>25</w:t>
      </w:r>
      <w:r>
        <w:rPr>
          <w:rFonts w:hint="eastAsia" w:ascii="仿宋_GB2312" w:hAnsi="仿宋_GB2312" w:eastAsia="仿宋_GB2312" w:cs="仿宋_GB2312"/>
          <w:bCs/>
          <w:color w:val="auto"/>
          <w:sz w:val="32"/>
        </w:rPr>
        <w:t>年</w:t>
      </w:r>
      <w:r>
        <w:rPr>
          <w:rFonts w:hint="eastAsia" w:ascii="仿宋_GB2312" w:hAnsi="仿宋_GB2312" w:eastAsia="仿宋_GB2312" w:cs="仿宋_GB2312"/>
          <w:bCs/>
          <w:color w:val="auto"/>
          <w:sz w:val="32"/>
          <w:lang w:val="en-US" w:eastAsia="zh-CN"/>
        </w:rPr>
        <w:t>10</w:t>
      </w:r>
      <w:r>
        <w:rPr>
          <w:rFonts w:hint="eastAsia" w:ascii="仿宋_GB2312" w:hAnsi="仿宋_GB2312" w:eastAsia="仿宋_GB2312" w:cs="仿宋_GB2312"/>
          <w:bCs/>
          <w:color w:val="auto"/>
          <w:sz w:val="32"/>
        </w:rPr>
        <w:t>月</w:t>
      </w:r>
    </w:p>
    <w:p w14:paraId="5EA2AF34">
      <w:pPr>
        <w:jc w:val="center"/>
        <w:rPr>
          <w:rFonts w:hint="eastAsia" w:ascii="仿宋_GB2312" w:hAnsi="仿宋_GB2312" w:eastAsia="仿宋_GB2312" w:cs="仿宋_GB2312"/>
          <w:b/>
          <w:bCs/>
          <w:color w:val="auto"/>
          <w:sz w:val="32"/>
        </w:rPr>
        <w:sectPr>
          <w:footerReference r:id="rId3" w:type="default"/>
          <w:pgSz w:w="11906" w:h="16838"/>
          <w:pgMar w:top="1134" w:right="1418" w:bottom="1134" w:left="1418" w:header="851" w:footer="992" w:gutter="0"/>
          <w:pgNumType w:fmt="decimal"/>
          <w:cols w:space="720" w:num="1"/>
          <w:docGrid w:type="lines" w:linePitch="312" w:charSpace="0"/>
        </w:sectPr>
      </w:pPr>
    </w:p>
    <w:p w14:paraId="671C71FA">
      <w:pPr>
        <w:adjustRightInd w:val="0"/>
        <w:snapToGrid w:val="0"/>
        <w:spacing w:before="120" w:after="120" w:line="276" w:lineRule="auto"/>
        <w:jc w:val="center"/>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城工集团公路工程施工总承包一级资质证书一年证换五年证咨询服务单位采购项目询价文件</w:t>
      </w:r>
    </w:p>
    <w:p w14:paraId="5CC91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东莞市城市工程建设集团有限公司</w:t>
      </w:r>
      <w:r>
        <w:rPr>
          <w:rFonts w:hint="eastAsia" w:ascii="仿宋" w:hAnsi="仿宋" w:eastAsia="仿宋" w:cs="仿宋"/>
          <w:color w:val="auto"/>
          <w:sz w:val="24"/>
          <w:szCs w:val="24"/>
          <w:highlight w:val="none"/>
        </w:rPr>
        <w:t>拟</w:t>
      </w:r>
      <w:r>
        <w:rPr>
          <w:rFonts w:hint="eastAsia" w:ascii="仿宋" w:hAnsi="仿宋" w:eastAsia="仿宋" w:cs="仿宋"/>
          <w:color w:val="auto"/>
          <w:sz w:val="24"/>
          <w:szCs w:val="24"/>
          <w:highlight w:val="none"/>
          <w:lang w:val="en-US" w:eastAsia="zh-CN"/>
        </w:rPr>
        <w:t>对</w:t>
      </w:r>
      <w:r>
        <w:rPr>
          <w:rFonts w:hint="eastAsia" w:ascii="方正仿宋_GB2312" w:hAnsi="方正仿宋_GB2312" w:eastAsia="方正仿宋_GB2312" w:cs="方正仿宋_GB2312"/>
          <w:sz w:val="24"/>
          <w:szCs w:val="24"/>
          <w:u w:val="single"/>
          <w:lang w:val="en-US" w:eastAsia="zh-CN"/>
        </w:rPr>
        <w:t>公路工程施工总承包一级资质证书一年证换五年证咨询服务单位采购项目</w:t>
      </w:r>
      <w:r>
        <w:rPr>
          <w:rFonts w:hint="eastAsia" w:ascii="仿宋" w:hAnsi="仿宋" w:eastAsia="仿宋" w:cs="仿宋"/>
          <w:color w:val="auto"/>
          <w:sz w:val="24"/>
          <w:szCs w:val="24"/>
          <w:highlight w:val="none"/>
        </w:rPr>
        <w:t>进行</w:t>
      </w:r>
      <w:r>
        <w:rPr>
          <w:rFonts w:hint="eastAsia" w:ascii="仿宋" w:hAnsi="仿宋" w:eastAsia="仿宋" w:cs="仿宋"/>
          <w:color w:val="auto"/>
          <w:sz w:val="24"/>
          <w:szCs w:val="24"/>
          <w:highlight w:val="none"/>
          <w:u w:val="single"/>
        </w:rPr>
        <w:t>询价采购</w:t>
      </w:r>
      <w:r>
        <w:rPr>
          <w:rFonts w:hint="eastAsia" w:ascii="仿宋" w:hAnsi="仿宋" w:eastAsia="仿宋" w:cs="仿宋"/>
          <w:color w:val="auto"/>
          <w:sz w:val="24"/>
          <w:szCs w:val="24"/>
          <w:highlight w:val="none"/>
        </w:rPr>
        <w:t>，现将相关情况介绍如下：</w:t>
      </w:r>
    </w:p>
    <w:p w14:paraId="3EAA4D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一、项目名称及内容</w:t>
      </w:r>
    </w:p>
    <w:p w14:paraId="1F8D2B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1、项目名称：</w:t>
      </w:r>
      <w:r>
        <w:rPr>
          <w:rFonts w:hint="eastAsia" w:ascii="方正仿宋_GB2312" w:hAnsi="方正仿宋_GB2312" w:eastAsia="方正仿宋_GB2312" w:cs="方正仿宋_GB2312"/>
          <w:sz w:val="24"/>
          <w:szCs w:val="24"/>
          <w:u w:val="single"/>
          <w:lang w:val="en-US" w:eastAsia="zh-CN"/>
        </w:rPr>
        <w:t>公路工程施工总承包一级资质证书一年证换五年证咨询服务单位采购项目</w:t>
      </w:r>
      <w:r>
        <w:rPr>
          <w:rFonts w:hint="eastAsia" w:ascii="仿宋" w:hAnsi="仿宋" w:eastAsia="仿宋" w:cs="仿宋"/>
          <w:color w:val="auto"/>
          <w:sz w:val="24"/>
          <w:szCs w:val="24"/>
          <w:highlight w:val="none"/>
          <w:u w:val="single"/>
        </w:rPr>
        <w:t>；</w:t>
      </w:r>
    </w:p>
    <w:p w14:paraId="120D61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2、项目编号：</w:t>
      </w:r>
      <w:r>
        <w:rPr>
          <w:rFonts w:hint="eastAsia" w:ascii="仿宋" w:hAnsi="仿宋" w:eastAsia="仿宋" w:cs="仿宋"/>
          <w:color w:val="auto"/>
          <w:sz w:val="24"/>
          <w:szCs w:val="24"/>
          <w:highlight w:val="none"/>
          <w:u w:val="single"/>
          <w:lang w:val="en-US" w:eastAsia="zh-CN"/>
        </w:rPr>
        <w:t>ZBCG-2025-229</w:t>
      </w:r>
    </w:p>
    <w:p w14:paraId="0CEDD0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、采购内容：采购一家</w:t>
      </w:r>
      <w:r>
        <w:rPr>
          <w:rFonts w:hint="eastAsia" w:ascii="仿宋" w:hAnsi="仿宋" w:eastAsia="仿宋" w:cs="仿宋"/>
          <w:color w:val="auto"/>
          <w:sz w:val="24"/>
          <w:szCs w:val="24"/>
          <w:highlight w:val="none"/>
          <w:lang w:val="en-US" w:eastAsia="zh-CN"/>
        </w:rPr>
        <w:t>咨询服务单位</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eastAsia="zh-CN"/>
        </w:rPr>
        <w:t>东莞市城市工程建设集团有限公司</w:t>
      </w:r>
      <w:r>
        <w:rPr>
          <w:rFonts w:hint="eastAsia" w:ascii="仿宋" w:hAnsi="仿宋" w:eastAsia="仿宋" w:cs="仿宋"/>
          <w:color w:val="auto"/>
          <w:sz w:val="24"/>
          <w:szCs w:val="24"/>
          <w:highlight w:val="none"/>
          <w:lang w:val="en-US" w:eastAsia="zh-CN"/>
        </w:rPr>
        <w:t>公路工程施工总承包一级资质证书一年证换五年证咨询服务，具体内容见采购需求书</w:t>
      </w:r>
      <w:r>
        <w:rPr>
          <w:rFonts w:hint="eastAsia" w:ascii="仿宋" w:hAnsi="仿宋" w:eastAsia="仿宋" w:cs="仿宋"/>
          <w:color w:val="auto"/>
          <w:sz w:val="24"/>
          <w:szCs w:val="24"/>
          <w:highlight w:val="none"/>
          <w:lang w:eastAsia="zh-CN"/>
        </w:rPr>
        <w:t>；</w:t>
      </w:r>
    </w:p>
    <w:p w14:paraId="770A42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、项目地点：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东莞市城市工程建设集团有限公司</w:t>
      </w:r>
      <w:r>
        <w:rPr>
          <w:rFonts w:hint="eastAsia" w:ascii="仿宋" w:hAnsi="仿宋" w:eastAsia="仿宋" w:cs="仿宋"/>
          <w:color w:val="auto"/>
          <w:sz w:val="24"/>
          <w:szCs w:val="24"/>
          <w:highlight w:val="none"/>
          <w:u w:val="single"/>
        </w:rPr>
        <w:t>；</w:t>
      </w:r>
    </w:p>
    <w:p w14:paraId="50EC36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、服务时间：</w:t>
      </w:r>
    </w:p>
    <w:p w14:paraId="528CA6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合同签订之日起至我公司成功取得由主管部门核发的有效期为5年的建筑业企业资质证书，其中关键节点时间：</w:t>
      </w:r>
    </w:p>
    <w:p w14:paraId="59E95C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（1）合同签订后10个工作日内：完成全部材料初审与方案确认。</w:t>
      </w:r>
    </w:p>
    <w:p w14:paraId="9A474A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（2）安徽金屯路桥注销完成后10个工作日内：完成全套申报材料的编制与定稿。</w:t>
      </w:r>
    </w:p>
    <w:p w14:paraId="55E746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（3）2026年2月1日前：完成审批流程，取得住建部资质审查意见的公示，且对我公司的资质审查意见为“同意”。</w:t>
      </w:r>
    </w:p>
    <w:p w14:paraId="23AA15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（4）最终完成期限：2026年3月12日前，取得住建部核发的有效期为5年的建筑业企业资质证书。</w:t>
      </w:r>
    </w:p>
    <w:p w14:paraId="5C37B6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二、项目发布</w:t>
      </w:r>
    </w:p>
    <w:p w14:paraId="5CC922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本采购项目信息在东莞市城市工程建设集团有限公司网站（http://dggcc.cn/main/）发布。</w:t>
      </w:r>
    </w:p>
    <w:p w14:paraId="7C1EDD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三、踏勘现场</w:t>
      </w:r>
    </w:p>
    <w:p w14:paraId="7376C6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该项目需进行踏勘现场，请投标人于不少于投标截止日期一个日历天之前联系采购人到实地踏勘考察并领取现场踏勘证明等相关资料。如因投标人于本采购开标前未到现场踏勘，不得参与投标。踏勘现场联系人:李工，联系方式：15989633350。</w:t>
      </w:r>
    </w:p>
    <w:p w14:paraId="610995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sym w:font="Wingdings" w:char="F0AB"/>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、响应人资格要求</w:t>
      </w:r>
    </w:p>
    <w:p w14:paraId="0174AB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szCs w:val="24"/>
        </w:rPr>
      </w:pPr>
      <w:r>
        <w:rPr>
          <w:rFonts w:hint="eastAsia" w:ascii="仿宋" w:hAnsi="仿宋" w:eastAsia="仿宋"/>
          <w:sz w:val="24"/>
          <w:szCs w:val="24"/>
        </w:rPr>
        <w:t>1、响应人须为在中华人民共和国境内登记注册的具有独立承担民事责任能力的法人或其他组织。【提供《营业执照》复印件（加盖公章）或《事业单位法人证书》复印件（加盖公章）或其他主体证书复印件（加盖公章）】</w:t>
      </w:r>
    </w:p>
    <w:p w14:paraId="69FDC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、人员要求：响应人拟派项目负责人须具备</w:t>
      </w:r>
      <w:r>
        <w:rPr>
          <w:rFonts w:ascii="仿宋" w:hAnsi="仿宋" w:eastAsia="仿宋"/>
          <w:sz w:val="24"/>
          <w:szCs w:val="24"/>
          <w:u w:val="single"/>
        </w:rPr>
        <w:t xml:space="preserve"> </w:t>
      </w:r>
      <w:r>
        <w:rPr>
          <w:rFonts w:ascii="仿宋" w:hAnsi="仿宋" w:eastAsia="仿宋"/>
          <w:sz w:val="24"/>
          <w:szCs w:val="24"/>
          <w:u w:val="single"/>
          <w:lang w:val="en-US"/>
        </w:rPr>
        <w:t>5年以上住建部资质申报经验，并提供成功案例佐证</w:t>
      </w:r>
      <w:r>
        <w:rPr>
          <w:rFonts w:ascii="仿宋" w:hAnsi="仿宋" w:eastAsia="仿宋"/>
          <w:sz w:val="24"/>
          <w:szCs w:val="24"/>
          <w:u w:val="single"/>
        </w:rPr>
        <w:t xml:space="preserve"> </w:t>
      </w:r>
      <w:r>
        <w:rPr>
          <w:rFonts w:hint="eastAsia" w:ascii="仿宋" w:hAnsi="仿宋" w:eastAsia="仿宋"/>
          <w:sz w:val="24"/>
          <w:szCs w:val="24"/>
        </w:rPr>
        <w:t>。【提供</w:t>
      </w:r>
      <w:r>
        <w:rPr>
          <w:rFonts w:hint="eastAsia" w:ascii="仿宋" w:hAnsi="仿宋" w:eastAsia="仿宋"/>
          <w:sz w:val="24"/>
          <w:szCs w:val="24"/>
          <w:lang w:val="en-US" w:eastAsia="zh-CN"/>
        </w:rPr>
        <w:t>相关证明资料</w:t>
      </w:r>
      <w:r>
        <w:rPr>
          <w:rFonts w:hint="eastAsia" w:ascii="仿宋" w:hAnsi="仿宋" w:eastAsia="仿宋"/>
          <w:sz w:val="24"/>
          <w:szCs w:val="24"/>
        </w:rPr>
        <w:t>复印件（加盖公章）】</w:t>
      </w:r>
    </w:p>
    <w:p w14:paraId="1E112E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 xml:space="preserve">具有依法缴纳税收和社会保障资金的良好记录。 </w:t>
      </w:r>
    </w:p>
    <w:p w14:paraId="127FD5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4、</w:t>
      </w:r>
      <w:r>
        <w:rPr>
          <w:rFonts w:hint="eastAsia" w:ascii="仿宋" w:hAnsi="仿宋" w:eastAsia="仿宋"/>
          <w:sz w:val="24"/>
          <w:szCs w:val="24"/>
        </w:rPr>
        <w:t>参加本次采购活动前三年内，在经营活动中没有重大违法</w:t>
      </w:r>
      <w:r>
        <w:rPr>
          <w:rFonts w:hint="eastAsia" w:ascii="仿宋" w:hAnsi="仿宋" w:eastAsia="仿宋"/>
          <w:sz w:val="24"/>
          <w:szCs w:val="24"/>
          <w:lang w:val="en-US" w:eastAsia="zh-CN"/>
        </w:rPr>
        <w:t>记录。</w:t>
      </w:r>
    </w:p>
    <w:p w14:paraId="46597C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hint="default" w:ascii="Times New Roman" w:hAnsi="Times New Roman" w:eastAsia="仿宋_GB2312" w:cs="Times New Roman"/>
          <w:color w:val="auto"/>
          <w:sz w:val="24"/>
          <w:szCs w:val="24"/>
        </w:rPr>
      </w:pPr>
      <w:r>
        <w:rPr>
          <w:rFonts w:hint="eastAsia" w:ascii="仿宋" w:hAnsi="仿宋" w:eastAsia="仿宋"/>
          <w:sz w:val="24"/>
          <w:szCs w:val="24"/>
          <w:lang w:val="en-US" w:eastAsia="zh-CN"/>
        </w:rPr>
        <w:t>5、未被列</w:t>
      </w:r>
      <w:r>
        <w:rPr>
          <w:rFonts w:hint="eastAsia" w:eastAsia="仿宋_GB2312"/>
          <w:color w:val="000000"/>
          <w:sz w:val="24"/>
          <w:szCs w:val="24"/>
        </w:rPr>
        <w:t>入东实集团及下属企</w:t>
      </w:r>
      <w:r>
        <w:rPr>
          <w:rFonts w:hint="eastAsia" w:eastAsia="仿宋_GB2312"/>
          <w:color w:val="auto"/>
          <w:sz w:val="24"/>
          <w:szCs w:val="24"/>
        </w:rPr>
        <w:t>业</w:t>
      </w:r>
      <w:r>
        <w:rPr>
          <w:rFonts w:hint="eastAsia" w:ascii="仿宋" w:hAnsi="仿宋" w:eastAsia="仿宋"/>
          <w:color w:val="auto"/>
          <w:sz w:val="24"/>
          <w:szCs w:val="24"/>
          <w:lang w:val="en-US" w:eastAsia="zh-CN"/>
        </w:rPr>
        <w:t>相关</w:t>
      </w:r>
      <w:r>
        <w:rPr>
          <w:rFonts w:hint="eastAsia" w:eastAsia="仿宋_GB2312"/>
          <w:color w:val="auto"/>
          <w:sz w:val="24"/>
          <w:szCs w:val="24"/>
        </w:rPr>
        <w:t>领域黑名单。【以东莞实业投资控股集团</w:t>
      </w:r>
      <w:r>
        <w:rPr>
          <w:rFonts w:hint="default" w:ascii="Times New Roman" w:hAnsi="Times New Roman" w:eastAsia="仿宋_GB2312" w:cs="Times New Roman"/>
          <w:color w:val="auto"/>
          <w:sz w:val="24"/>
          <w:szCs w:val="24"/>
        </w:rPr>
        <w:t>有限公司发文（东实通〔2021〕44号）、（东实通〔2021〕98号）</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（东实通〔2022〕75号）（东实通〔2023〕37号）</w:t>
      </w:r>
      <w:r>
        <w:rPr>
          <w:rFonts w:hint="default" w:ascii="Times New Roman" w:hAnsi="Times New Roman" w:eastAsia="仿宋_GB2312" w:cs="Times New Roman"/>
          <w:color w:val="auto"/>
          <w:sz w:val="24"/>
          <w:szCs w:val="24"/>
        </w:rPr>
        <w:t>为准</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如有最新发文通知，按最新文件执行。</w:t>
      </w:r>
      <w:r>
        <w:rPr>
          <w:rFonts w:hint="default" w:ascii="Times New Roman" w:hAnsi="Times New Roman" w:eastAsia="仿宋_GB2312" w:cs="Times New Roman"/>
          <w:color w:val="auto"/>
          <w:sz w:val="24"/>
          <w:szCs w:val="24"/>
        </w:rPr>
        <w:t>】</w:t>
      </w:r>
    </w:p>
    <w:p w14:paraId="435ACD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、采购内容及要求</w:t>
      </w:r>
    </w:p>
    <w:p w14:paraId="7D97CD08">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具体要求详见附件</w:t>
      </w:r>
      <w:r>
        <w:rPr>
          <w:rFonts w:hint="eastAsia" w:ascii="仿宋" w:hAnsi="仿宋" w:eastAsia="仿宋" w:cs="仿宋"/>
          <w:color w:val="auto"/>
          <w:sz w:val="24"/>
          <w:szCs w:val="24"/>
          <w:highlight w:val="none"/>
          <w:lang w:val="en-US" w:eastAsia="zh-CN"/>
        </w:rPr>
        <w:t>六采购</w:t>
      </w:r>
      <w:r>
        <w:rPr>
          <w:rFonts w:hint="eastAsia" w:ascii="仿宋" w:hAnsi="仿宋" w:eastAsia="仿宋" w:cs="仿宋"/>
          <w:color w:val="auto"/>
          <w:sz w:val="24"/>
          <w:szCs w:val="24"/>
          <w:highlight w:val="none"/>
        </w:rPr>
        <w:t>需求书。响应人须仔细阅读本</w:t>
      </w:r>
      <w:r>
        <w:rPr>
          <w:rFonts w:hint="eastAsia" w:ascii="仿宋" w:hAnsi="仿宋" w:eastAsia="仿宋" w:cs="仿宋"/>
          <w:color w:val="auto"/>
          <w:sz w:val="24"/>
          <w:szCs w:val="24"/>
          <w:highlight w:val="none"/>
          <w:lang w:val="en-US" w:eastAsia="zh-CN"/>
        </w:rPr>
        <w:t>采购需求书</w:t>
      </w:r>
      <w:r>
        <w:rPr>
          <w:rFonts w:hint="eastAsia" w:ascii="仿宋" w:hAnsi="仿宋" w:eastAsia="仿宋" w:cs="仿宋"/>
          <w:color w:val="auto"/>
          <w:sz w:val="24"/>
          <w:szCs w:val="24"/>
          <w:highlight w:val="none"/>
        </w:rPr>
        <w:t>，因未详细了解本采购文件及相关附件造成报价项目遗漏，由响应人自行负责。</w:t>
      </w:r>
    </w:p>
    <w:p w14:paraId="063B0D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、支付方式</w:t>
      </w:r>
    </w:p>
    <w:p w14:paraId="4FCA48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本次采购咨询服务不设预付款；</w:t>
      </w:r>
    </w:p>
    <w:p w14:paraId="1562B4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在我公司成功取得住建部核发的有效期为5年的建筑业企业资质证书之日后10个工作日内，我公司一次性支付合同约定全额服务费用的100%（咨询服务单位在投标报价时，应充分考虑此付款方式下的资金成本与风险）。</w:t>
      </w:r>
    </w:p>
    <w:p w14:paraId="5D679C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、报价</w:t>
      </w:r>
    </w:p>
    <w:p w14:paraId="00205A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1、报价模式：拟采用服务费用固定总价，包括为完成本需求书所述全部服务内容所需的成本、利润、税金等一切费用。</w:t>
      </w:r>
    </w:p>
    <w:p w14:paraId="618380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Cs w:val="21"/>
          <w:lang w:val="en-US" w:eastAsia="zh-CN"/>
        </w:rPr>
      </w:pPr>
      <w:r>
        <w:rPr>
          <w:rFonts w:hint="eastAsia" w:ascii="方正仿宋_GB2312" w:hAnsi="方正仿宋_GB2312" w:eastAsia="方正仿宋_GB2312" w:cs="方正仿宋_GB2312"/>
          <w:sz w:val="24"/>
          <w:szCs w:val="24"/>
          <w:lang w:val="en-US" w:eastAsia="zh-CN"/>
        </w:rPr>
        <w:t>2、</w:t>
      </w:r>
      <w:r>
        <w:rPr>
          <w:rFonts w:hint="eastAsia" w:ascii="方正仿宋_GB2312" w:hAnsi="方正仿宋_GB2312" w:eastAsia="方正仿宋_GB2312" w:cs="方正仿宋_GB2312"/>
          <w:b/>
          <w:bCs/>
          <w:sz w:val="24"/>
          <w:szCs w:val="24"/>
          <w:lang w:val="en-US" w:eastAsia="zh-CN"/>
        </w:rPr>
        <w:t>本次咨询服务费的含税最高限价为</w:t>
      </w:r>
      <w:r>
        <w:rPr>
          <w:rFonts w:hint="eastAsia" w:ascii="方正仿宋_GB2312" w:hAnsi="方正仿宋_GB2312" w:eastAsia="方正仿宋_GB2312" w:cs="方正仿宋_GB2312"/>
          <w:b/>
          <w:bCs/>
          <w:sz w:val="24"/>
          <w:szCs w:val="24"/>
          <w:u w:val="none"/>
          <w:lang w:val="en-US" w:eastAsia="zh-CN"/>
        </w:rPr>
        <w:t>（小写）</w:t>
      </w:r>
      <w:r>
        <w:rPr>
          <w:rFonts w:hint="eastAsia" w:ascii="方正仿宋_GB2312" w:hAnsi="方正仿宋_GB2312" w:eastAsia="方正仿宋_GB2312" w:cs="方正仿宋_GB2312"/>
          <w:b/>
          <w:bCs/>
          <w:color w:val="auto"/>
          <w:kern w:val="0"/>
          <w:sz w:val="24"/>
          <w:szCs w:val="24"/>
          <w:u w:val="single"/>
          <w:lang w:val="en-US" w:eastAsia="zh-CN"/>
        </w:rPr>
        <w:t>¥</w:t>
      </w:r>
      <w:r>
        <w:rPr>
          <w:rFonts w:hint="eastAsia" w:ascii="方正仿宋_GB2312" w:hAnsi="方正仿宋_GB2312" w:eastAsia="方正仿宋_GB2312" w:cs="方正仿宋_GB2312"/>
          <w:b/>
          <w:bCs/>
          <w:sz w:val="24"/>
          <w:szCs w:val="24"/>
          <w:u w:val="single"/>
          <w:lang w:val="en-US" w:eastAsia="zh-CN"/>
        </w:rPr>
        <w:t>477000.00元，</w:t>
      </w:r>
      <w:r>
        <w:rPr>
          <w:rFonts w:hint="eastAsia" w:ascii="方正仿宋_GB2312" w:hAnsi="方正仿宋_GB2312" w:eastAsia="方正仿宋_GB2312" w:cs="方正仿宋_GB2312"/>
          <w:b/>
          <w:bCs/>
          <w:sz w:val="24"/>
          <w:szCs w:val="24"/>
          <w:u w:val="none"/>
          <w:lang w:val="en-US" w:eastAsia="zh-CN"/>
        </w:rPr>
        <w:t>(大写)人民币</w:t>
      </w:r>
      <w:r>
        <w:rPr>
          <w:rFonts w:hint="eastAsia" w:ascii="方正仿宋_GB2312" w:hAnsi="方正仿宋_GB2312" w:eastAsia="方正仿宋_GB2312" w:cs="方正仿宋_GB2312"/>
          <w:b/>
          <w:bCs/>
          <w:sz w:val="24"/>
          <w:szCs w:val="24"/>
          <w:u w:val="single"/>
          <w:lang w:val="en-US" w:eastAsia="zh-CN"/>
        </w:rPr>
        <w:t>肆拾柒万柒仟元整</w:t>
      </w:r>
      <w:r>
        <w:rPr>
          <w:rFonts w:hint="eastAsia" w:ascii="方正仿宋_GB2312" w:hAnsi="方正仿宋_GB2312" w:eastAsia="方正仿宋_GB2312" w:cs="方正仿宋_GB2312"/>
          <w:b/>
          <w:bCs/>
          <w:sz w:val="24"/>
          <w:szCs w:val="24"/>
          <w:u w:val="none"/>
          <w:lang w:val="en-US" w:eastAsia="zh-CN"/>
        </w:rPr>
        <w:t>，其中不含税价</w:t>
      </w:r>
      <w:r>
        <w:rPr>
          <w:rFonts w:hint="eastAsia" w:ascii="方正仿宋_GB2312" w:hAnsi="方正仿宋_GB2312" w:eastAsia="方正仿宋_GB2312" w:cs="方正仿宋_GB2312"/>
          <w:b/>
          <w:bCs/>
          <w:color w:val="auto"/>
          <w:kern w:val="0"/>
          <w:sz w:val="24"/>
          <w:szCs w:val="24"/>
          <w:u w:val="none"/>
          <w:lang w:val="en-US" w:eastAsia="zh-CN"/>
        </w:rPr>
        <w:t>(小写</w:t>
      </w:r>
      <w:r>
        <w:rPr>
          <w:rFonts w:hint="eastAsia" w:ascii="方正仿宋_GB2312" w:hAnsi="方正仿宋_GB2312" w:eastAsia="方正仿宋_GB2312" w:cs="方正仿宋_GB2312"/>
          <w:b/>
          <w:bCs/>
          <w:color w:val="auto"/>
          <w:kern w:val="0"/>
          <w:sz w:val="24"/>
          <w:szCs w:val="24"/>
          <w:u w:val="single"/>
          <w:lang w:val="en-US" w:eastAsia="zh-CN"/>
        </w:rPr>
        <w:t>)¥450000.00元</w:t>
      </w:r>
      <w:r>
        <w:rPr>
          <w:rFonts w:hint="eastAsia" w:ascii="方正仿宋_GB2312" w:hAnsi="方正仿宋_GB2312" w:eastAsia="方正仿宋_GB2312" w:cs="方正仿宋_GB2312"/>
          <w:b/>
          <w:bCs/>
          <w:color w:val="auto"/>
          <w:kern w:val="0"/>
          <w:sz w:val="24"/>
          <w:szCs w:val="24"/>
          <w:u w:val="none"/>
          <w:lang w:val="en-US" w:eastAsia="zh-CN"/>
        </w:rPr>
        <w:t>，(大写)人民币</w:t>
      </w:r>
      <w:r>
        <w:rPr>
          <w:rFonts w:hint="eastAsia" w:ascii="方正仿宋_GB2312" w:hAnsi="方正仿宋_GB2312" w:eastAsia="方正仿宋_GB2312" w:cs="方正仿宋_GB2312"/>
          <w:b/>
          <w:bCs/>
          <w:color w:val="auto"/>
          <w:kern w:val="0"/>
          <w:sz w:val="24"/>
          <w:szCs w:val="24"/>
          <w:u w:val="single"/>
          <w:lang w:val="en-US" w:eastAsia="zh-CN"/>
        </w:rPr>
        <w:t>肆拾伍万元整</w:t>
      </w:r>
      <w:r>
        <w:rPr>
          <w:rFonts w:hint="eastAsia" w:ascii="方正仿宋_GB2312" w:hAnsi="方正仿宋_GB2312" w:eastAsia="方正仿宋_GB2312" w:cs="方正仿宋_GB2312"/>
          <w:b/>
          <w:bCs/>
          <w:color w:val="auto"/>
          <w:kern w:val="0"/>
          <w:sz w:val="24"/>
          <w:szCs w:val="24"/>
          <w:u w:val="none"/>
          <w:lang w:val="en-US" w:eastAsia="zh-CN"/>
        </w:rPr>
        <w:t>，税金(小写)</w:t>
      </w:r>
      <w:r>
        <w:rPr>
          <w:rFonts w:hint="eastAsia" w:ascii="方正仿宋_GB2312" w:hAnsi="方正仿宋_GB2312" w:eastAsia="方正仿宋_GB2312" w:cs="方正仿宋_GB2312"/>
          <w:b/>
          <w:bCs/>
          <w:color w:val="auto"/>
          <w:kern w:val="0"/>
          <w:sz w:val="24"/>
          <w:szCs w:val="24"/>
          <w:u w:val="single"/>
          <w:lang w:val="en-US" w:eastAsia="zh-CN"/>
        </w:rPr>
        <w:t>¥27000.00元</w:t>
      </w:r>
      <w:r>
        <w:rPr>
          <w:rFonts w:hint="eastAsia" w:ascii="方正仿宋_GB2312" w:hAnsi="方正仿宋_GB2312" w:eastAsia="方正仿宋_GB2312" w:cs="方正仿宋_GB2312"/>
          <w:b/>
          <w:bCs/>
          <w:color w:val="auto"/>
          <w:kern w:val="0"/>
          <w:sz w:val="24"/>
          <w:szCs w:val="24"/>
          <w:lang w:val="en-US" w:eastAsia="zh-CN"/>
        </w:rPr>
        <w:t>，</w:t>
      </w:r>
      <w:r>
        <w:rPr>
          <w:rFonts w:hint="eastAsia" w:ascii="方正仿宋_GB2312" w:hAnsi="方正仿宋_GB2312" w:eastAsia="方正仿宋_GB2312" w:cs="方正仿宋_GB2312"/>
          <w:b/>
          <w:bCs/>
          <w:color w:val="auto"/>
          <w:kern w:val="0"/>
          <w:sz w:val="24"/>
          <w:szCs w:val="24"/>
          <w:u w:val="none"/>
          <w:lang w:val="en-US" w:eastAsia="zh-CN"/>
        </w:rPr>
        <w:t>(大写)人民币</w:t>
      </w:r>
      <w:r>
        <w:rPr>
          <w:rFonts w:hint="eastAsia" w:ascii="方正仿宋_GB2312" w:hAnsi="方正仿宋_GB2312" w:eastAsia="方正仿宋_GB2312" w:cs="方正仿宋_GB2312"/>
          <w:b/>
          <w:bCs/>
          <w:color w:val="auto"/>
          <w:kern w:val="0"/>
          <w:sz w:val="24"/>
          <w:szCs w:val="24"/>
          <w:u w:val="single"/>
          <w:lang w:val="en-US" w:eastAsia="zh-CN"/>
        </w:rPr>
        <w:t>贰万柒仟元整</w:t>
      </w:r>
      <w:r>
        <w:rPr>
          <w:rFonts w:hint="eastAsia" w:ascii="方正仿宋_GB2312" w:hAnsi="方正仿宋_GB2312" w:eastAsia="方正仿宋_GB2312" w:cs="方正仿宋_GB2312"/>
          <w:b/>
          <w:bCs/>
          <w:color w:val="auto"/>
          <w:kern w:val="0"/>
          <w:sz w:val="24"/>
          <w:szCs w:val="24"/>
          <w:u w:val="none"/>
          <w:lang w:val="en-US" w:eastAsia="zh-CN"/>
        </w:rPr>
        <w:t>。</w:t>
      </w:r>
    </w:p>
    <w:p w14:paraId="21C2F0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、定标</w:t>
      </w:r>
    </w:p>
    <w:p w14:paraId="54D24F0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本次项目采用询价方式进行采购，询价小组对各供应商响应文件进行审核，并根据质量和服务均能满足采购文件实质性响应要求且报价最低的原则，推荐成交候选供应商。</w:t>
      </w:r>
    </w:p>
    <w:p w14:paraId="28A3D9AE">
      <w:pPr>
        <w:keepNext w:val="0"/>
        <w:keepLines w:val="0"/>
        <w:pageBreakBefore w:val="0"/>
        <w:kinsoku/>
        <w:wordWrap/>
        <w:overflowPunct/>
        <w:topLinePunct w:val="0"/>
        <w:autoSpaceDE/>
        <w:autoSpaceDN/>
        <w:bidi w:val="0"/>
        <w:spacing w:line="360" w:lineRule="auto"/>
        <w:ind w:firstLine="480" w:firstLineChars="200"/>
        <w:textAlignment w:val="auto"/>
        <w:rPr>
          <w:rFonts w:hint="eastAsia"/>
          <w:lang w:eastAsia="zh-CN"/>
        </w:rPr>
      </w:pPr>
      <w:r>
        <w:rPr>
          <w:rFonts w:hint="eastAsia" w:ascii="仿宋" w:hAnsi="仿宋" w:eastAsia="仿宋" w:cs="仿宋"/>
          <w:color w:val="auto"/>
          <w:sz w:val="24"/>
          <w:szCs w:val="24"/>
          <w:highlight w:val="none"/>
        </w:rPr>
        <w:t>询价结束后，招标采购工作小组将相关询价情况按程序审批并确定成交人。</w:t>
      </w:r>
    </w:p>
    <w:p w14:paraId="3655002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有下列情形之一的，采购人将不再重新采购：</w:t>
      </w:r>
    </w:p>
    <w:p w14:paraId="47F662FD">
      <w:pPr>
        <w:widowControl/>
        <w:snapToGrid w:val="0"/>
        <w:spacing w:line="44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）经评议有效投标的投标人数量不足3个的；</w:t>
      </w:r>
    </w:p>
    <w:p w14:paraId="47E1AD7D">
      <w:pPr>
        <w:widowControl/>
        <w:snapToGrid w:val="0"/>
        <w:spacing w:line="44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）采购制度规定的其他采购失败情形的。</w:t>
      </w:r>
    </w:p>
    <w:p w14:paraId="6F9CED7E">
      <w:pPr>
        <w:widowControl/>
        <w:snapToGrid w:val="0"/>
        <w:spacing w:line="44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出现上述情形后，由采购小组根据实际情况对本次采购作出延缓采购工作或转为谈判(有效投标的投标人数量2个)、直接委托(有效投标的投标人数量1个)等方式。</w:t>
      </w:r>
    </w:p>
    <w:p w14:paraId="1C3ADBFF">
      <w:pPr>
        <w:widowControl/>
        <w:snapToGrid w:val="0"/>
        <w:spacing w:line="44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谈判程序为：采购小组集中与单一投标单位分别进行谈判，并进行二次报价，谈判过程中的任何一方不得透露与谈判有关的其它投标单位的技术资料、价格或其它信息。</w:t>
      </w:r>
    </w:p>
    <w:p w14:paraId="5FACE4E1">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_GB2312" w:hAnsi="仿宋_GB2312" w:eastAsia="仿宋_GB2312" w:cs="仿宋_GB2312"/>
          <w:color w:val="auto"/>
          <w:sz w:val="24"/>
          <w:szCs w:val="24"/>
        </w:rPr>
        <w:t>谈判定标方式：最终价低者（不含税价格最低者为中标单位）</w:t>
      </w:r>
      <w:r>
        <w:rPr>
          <w:rFonts w:hint="eastAsia" w:ascii="仿宋" w:hAnsi="仿宋" w:eastAsia="仿宋" w:cs="仿宋"/>
          <w:color w:val="auto"/>
          <w:sz w:val="24"/>
          <w:szCs w:val="24"/>
          <w:highlight w:val="none"/>
        </w:rPr>
        <w:t>。</w:t>
      </w:r>
    </w:p>
    <w:p w14:paraId="6A2B29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九</w:t>
      </w:r>
      <w:r>
        <w:rPr>
          <w:rFonts w:hint="eastAsia" w:ascii="仿宋" w:hAnsi="仿宋" w:eastAsia="仿宋" w:cs="仿宋"/>
          <w:b/>
          <w:bCs/>
          <w:color w:val="auto"/>
          <w:sz w:val="24"/>
          <w:szCs w:val="24"/>
          <w:highlight w:val="none"/>
        </w:rPr>
        <w:t>、采取的合同文本</w:t>
      </w:r>
    </w:p>
    <w:p w14:paraId="103B23A8">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eastAsia="仿宋_GB2312"/>
          <w:color w:val="000000"/>
          <w:sz w:val="24"/>
          <w:szCs w:val="24"/>
        </w:rPr>
      </w:pPr>
      <w:r>
        <w:rPr>
          <w:rFonts w:hint="eastAsia" w:ascii="仿宋" w:hAnsi="仿宋" w:eastAsia="仿宋" w:cs="仿宋"/>
          <w:color w:val="auto"/>
          <w:sz w:val="24"/>
          <w:szCs w:val="24"/>
          <w:highlight w:val="none"/>
        </w:rPr>
        <w:t>合同签订的依据为询价文件、报价文件及补充说明等。</w:t>
      </w:r>
      <w:r>
        <w:rPr>
          <w:rFonts w:hint="eastAsia" w:eastAsia="仿宋_GB2312"/>
          <w:color w:val="000000"/>
          <w:sz w:val="24"/>
          <w:szCs w:val="24"/>
        </w:rPr>
        <w:t>确定成交单位后，成交单位在</w:t>
      </w:r>
      <w:r>
        <w:rPr>
          <w:rFonts w:eastAsia="仿宋_GB2312"/>
          <w:color w:val="000000"/>
          <w:sz w:val="24"/>
          <w:szCs w:val="24"/>
          <w:u w:val="single"/>
        </w:rPr>
        <w:t>10</w:t>
      </w:r>
      <w:r>
        <w:rPr>
          <w:rFonts w:hint="eastAsia" w:eastAsia="仿宋_GB2312"/>
          <w:color w:val="000000"/>
          <w:sz w:val="24"/>
          <w:szCs w:val="24"/>
        </w:rPr>
        <w:t>天内与采购人签订合同。</w:t>
      </w:r>
    </w:p>
    <w:p w14:paraId="4B6D230C">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eastAsia="仿宋_GB2312"/>
          <w:color w:val="000000"/>
          <w:sz w:val="24"/>
          <w:szCs w:val="24"/>
        </w:rPr>
        <w:t>响应人收款前需向采购人提供请款材料和开具合法有效等额的增值税专用发票，否则采购人有权拒绝付款</w:t>
      </w:r>
      <w:r>
        <w:rPr>
          <w:rFonts w:hint="eastAsia" w:ascii="仿宋" w:hAnsi="仿宋" w:eastAsia="仿宋" w:cs="仿宋"/>
          <w:color w:val="auto"/>
          <w:sz w:val="24"/>
          <w:szCs w:val="24"/>
          <w:highlight w:val="none"/>
        </w:rPr>
        <w:t>。</w:t>
      </w:r>
    </w:p>
    <w:p w14:paraId="647D057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sym w:font="Wingdings" w:char="F0AB"/>
      </w:r>
      <w:r>
        <w:rPr>
          <w:rFonts w:hint="eastAsia" w:ascii="仿宋" w:hAnsi="仿宋" w:eastAsia="仿宋" w:cs="仿宋"/>
          <w:b/>
          <w:bCs/>
          <w:color w:val="auto"/>
          <w:sz w:val="24"/>
          <w:szCs w:val="24"/>
          <w:highlight w:val="none"/>
          <w:lang w:val="en-US" w:eastAsia="zh-CN"/>
        </w:rPr>
        <w:t>十</w:t>
      </w:r>
      <w:r>
        <w:rPr>
          <w:rFonts w:hint="eastAsia" w:ascii="仿宋" w:hAnsi="仿宋" w:eastAsia="仿宋" w:cs="仿宋"/>
          <w:b/>
          <w:bCs/>
          <w:color w:val="auto"/>
          <w:sz w:val="24"/>
          <w:szCs w:val="24"/>
          <w:highlight w:val="none"/>
        </w:rPr>
        <w:t>、响应文件的组成部分（响应文件本项资料如有不全，则作无效报价处理）</w:t>
      </w:r>
    </w:p>
    <w:p w14:paraId="3B2A3B22">
      <w:pPr>
        <w:keepNext w:val="0"/>
        <w:keepLines w:val="0"/>
        <w:pageBreakBefore w:val="0"/>
        <w:numPr>
          <w:ilvl w:val="0"/>
          <w:numId w:val="3"/>
        </w:numPr>
        <w:kinsoku/>
        <w:wordWrap/>
        <w:overflowPunct/>
        <w:topLinePunct w:val="0"/>
        <w:autoSpaceDE/>
        <w:autoSpaceDN/>
        <w:bidi w:val="0"/>
        <w:spacing w:line="360" w:lineRule="auto"/>
        <w:ind w:left="150" w:leftChars="0" w:firstLine="480" w:firstLineChars="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函</w:t>
      </w:r>
      <w:r>
        <w:rPr>
          <w:rFonts w:hint="eastAsia" w:ascii="仿宋" w:hAnsi="仿宋" w:eastAsia="仿宋" w:cs="仿宋"/>
          <w:color w:val="auto"/>
          <w:sz w:val="24"/>
          <w:szCs w:val="24"/>
          <w:highlight w:val="none"/>
        </w:rPr>
        <w:t>；</w:t>
      </w:r>
    </w:p>
    <w:p w14:paraId="50B97C75">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2、法人证明以及法人身份证复印件；</w:t>
      </w:r>
    </w:p>
    <w:p w14:paraId="205BE481">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3、法人授权书及被委托人身份证复印件；</w:t>
      </w:r>
    </w:p>
    <w:p w14:paraId="01B08D69">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4、承诺函；</w:t>
      </w:r>
    </w:p>
    <w:p w14:paraId="13C288E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5、响应人认为需要提供的其他资料。</w:t>
      </w:r>
    </w:p>
    <w:p w14:paraId="6A083CC2">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响应人须严格按照采购人提供的表单格式报价，响应文件必须装订完整，于骑缝处加盖投标单位企业公章。装有响应文件的文件袋须贴有密封条，于骑缝处加盖企业公章。</w:t>
      </w:r>
    </w:p>
    <w:p w14:paraId="69B9707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、响应文件份数</w:t>
      </w:r>
    </w:p>
    <w:p w14:paraId="625FC7D8">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正本一份</w:t>
      </w:r>
      <w:r>
        <w:rPr>
          <w:rFonts w:hint="eastAsia" w:ascii="仿宋" w:hAnsi="仿宋" w:eastAsia="仿宋" w:cs="仿宋"/>
          <w:color w:val="auto"/>
          <w:sz w:val="24"/>
          <w:szCs w:val="24"/>
          <w:highlight w:val="none"/>
        </w:rPr>
        <w:t>，副本一份，并提供响应文件</w:t>
      </w:r>
      <w:r>
        <w:rPr>
          <w:rFonts w:hint="eastAsia" w:ascii="仿宋" w:hAnsi="仿宋" w:eastAsia="仿宋" w:cs="仿宋"/>
          <w:color w:val="auto"/>
          <w:sz w:val="24"/>
          <w:szCs w:val="24"/>
          <w:highlight w:val="none"/>
          <w:u w:val="single"/>
        </w:rPr>
        <w:t>扫描件及电子版（U盘）</w:t>
      </w:r>
      <w:r>
        <w:rPr>
          <w:rFonts w:hint="eastAsia" w:ascii="仿宋" w:hAnsi="仿宋" w:eastAsia="仿宋" w:cs="仿宋"/>
          <w:color w:val="auto"/>
          <w:sz w:val="24"/>
          <w:szCs w:val="24"/>
          <w:highlight w:val="none"/>
        </w:rPr>
        <w:t>。</w:t>
      </w:r>
    </w:p>
    <w:p w14:paraId="0CA4D7F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、开标时间及地址</w:t>
      </w:r>
    </w:p>
    <w:p w14:paraId="686FF643">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1、开标时间：</w:t>
      </w:r>
      <w:r>
        <w:rPr>
          <w:rFonts w:hint="eastAsia" w:ascii="仿宋" w:hAnsi="仿宋" w:eastAsia="仿宋" w:cs="仿宋"/>
          <w:b/>
          <w:color w:val="auto"/>
          <w:sz w:val="24"/>
          <w:szCs w:val="24"/>
          <w:highlight w:val="none"/>
          <w:u w:val="single"/>
        </w:rPr>
        <w:t xml:space="preserve"> 202</w:t>
      </w:r>
      <w:r>
        <w:rPr>
          <w:rFonts w:hint="eastAsia" w:ascii="仿宋" w:hAnsi="仿宋" w:eastAsia="仿宋" w:cs="仿宋"/>
          <w:b/>
          <w:color w:val="auto"/>
          <w:sz w:val="24"/>
          <w:szCs w:val="24"/>
          <w:highlight w:val="none"/>
          <w:u w:val="single"/>
          <w:lang w:val="en-US" w:eastAsia="zh-CN"/>
        </w:rPr>
        <w:t>5</w:t>
      </w:r>
      <w:r>
        <w:rPr>
          <w:rFonts w:hint="eastAsia" w:ascii="仿宋" w:hAnsi="仿宋" w:eastAsia="仿宋" w:cs="仿宋"/>
          <w:b/>
          <w:color w:val="auto"/>
          <w:sz w:val="24"/>
          <w:szCs w:val="24"/>
          <w:highlight w:val="none"/>
          <w:u w:val="single"/>
        </w:rPr>
        <w:t>年</w:t>
      </w:r>
      <w:r>
        <w:rPr>
          <w:rFonts w:hint="eastAsia" w:ascii="仿宋" w:hAnsi="仿宋" w:eastAsia="仿宋" w:cs="仿宋"/>
          <w:b/>
          <w:color w:val="auto"/>
          <w:sz w:val="24"/>
          <w:szCs w:val="24"/>
          <w:highlight w:val="none"/>
          <w:u w:val="single"/>
          <w:lang w:val="en-US" w:eastAsia="zh-CN"/>
        </w:rPr>
        <w:t>10</w:t>
      </w:r>
      <w:r>
        <w:rPr>
          <w:rFonts w:hint="eastAsia" w:ascii="仿宋" w:hAnsi="仿宋" w:eastAsia="仿宋" w:cs="仿宋"/>
          <w:b/>
          <w:color w:val="auto"/>
          <w:sz w:val="24"/>
          <w:szCs w:val="24"/>
          <w:highlight w:val="none"/>
          <w:u w:val="single"/>
        </w:rPr>
        <w:t>月</w:t>
      </w:r>
      <w:r>
        <w:rPr>
          <w:rFonts w:hint="eastAsia" w:ascii="仿宋" w:hAnsi="仿宋" w:eastAsia="仿宋" w:cs="仿宋"/>
          <w:b/>
          <w:color w:val="auto"/>
          <w:sz w:val="24"/>
          <w:szCs w:val="24"/>
          <w:highlight w:val="none"/>
          <w:u w:val="single"/>
          <w:lang w:val="en-US" w:eastAsia="zh-CN"/>
        </w:rPr>
        <w:t xml:space="preserve"> 31</w:t>
      </w:r>
      <w:r>
        <w:rPr>
          <w:rFonts w:hint="eastAsia" w:ascii="仿宋" w:hAnsi="仿宋" w:eastAsia="仿宋" w:cs="仿宋"/>
          <w:b/>
          <w:color w:val="auto"/>
          <w:sz w:val="24"/>
          <w:szCs w:val="24"/>
          <w:highlight w:val="none"/>
          <w:u w:val="single"/>
        </w:rPr>
        <w:t>日</w:t>
      </w:r>
      <w:r>
        <w:rPr>
          <w:rFonts w:hint="eastAsia" w:ascii="仿宋" w:hAnsi="仿宋" w:eastAsia="仿宋" w:cs="仿宋"/>
          <w:b/>
          <w:color w:val="auto"/>
          <w:sz w:val="24"/>
          <w:szCs w:val="24"/>
          <w:highlight w:val="none"/>
          <w:u w:val="single"/>
          <w:lang w:val="en-US" w:eastAsia="zh-CN"/>
        </w:rPr>
        <w:t xml:space="preserve"> 10时 30分</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w:t>
      </w:r>
    </w:p>
    <w:p w14:paraId="40F6983A">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2、开标地址：</w:t>
      </w:r>
      <w:r>
        <w:rPr>
          <w:rFonts w:hint="eastAsia" w:ascii="仿宋" w:hAnsi="仿宋" w:eastAsia="仿宋" w:cs="仿宋"/>
          <w:b/>
          <w:color w:val="auto"/>
          <w:sz w:val="24"/>
          <w:szCs w:val="24"/>
          <w:highlight w:val="none"/>
          <w:u w:val="single"/>
        </w:rPr>
        <w:t>东莞市南城</w:t>
      </w:r>
      <w:r>
        <w:rPr>
          <w:rFonts w:hint="eastAsia" w:ascii="仿宋" w:hAnsi="仿宋" w:eastAsia="仿宋" w:cs="仿宋"/>
          <w:b/>
          <w:color w:val="auto"/>
          <w:sz w:val="24"/>
          <w:szCs w:val="24"/>
          <w:highlight w:val="none"/>
          <w:u w:val="single"/>
          <w:lang w:val="en-US" w:eastAsia="zh-CN"/>
        </w:rPr>
        <w:t>街道城市风景街</w:t>
      </w:r>
      <w:r>
        <w:rPr>
          <w:rFonts w:hint="eastAsia" w:ascii="仿宋" w:hAnsi="仿宋" w:eastAsia="仿宋" w:cs="仿宋"/>
          <w:b/>
          <w:color w:val="auto"/>
          <w:sz w:val="24"/>
          <w:szCs w:val="24"/>
          <w:highlight w:val="none"/>
          <w:u w:val="single"/>
        </w:rPr>
        <w:t>9栋</w:t>
      </w:r>
      <w:r>
        <w:rPr>
          <w:rFonts w:hint="eastAsia" w:ascii="仿宋" w:hAnsi="仿宋" w:eastAsia="仿宋" w:cs="仿宋"/>
          <w:b/>
          <w:color w:val="auto"/>
          <w:sz w:val="24"/>
          <w:szCs w:val="24"/>
          <w:highlight w:val="none"/>
          <w:u w:val="single"/>
          <w:lang w:val="en-US" w:eastAsia="zh-CN"/>
        </w:rPr>
        <w:t>3</w:t>
      </w:r>
      <w:r>
        <w:rPr>
          <w:rFonts w:hint="eastAsia" w:ascii="仿宋" w:hAnsi="仿宋" w:eastAsia="仿宋" w:cs="仿宋"/>
          <w:b/>
          <w:color w:val="auto"/>
          <w:sz w:val="24"/>
          <w:szCs w:val="24"/>
          <w:highlight w:val="none"/>
          <w:u w:val="single"/>
        </w:rPr>
        <w:t>层</w:t>
      </w:r>
      <w:r>
        <w:rPr>
          <w:rFonts w:hint="eastAsia" w:ascii="仿宋" w:hAnsi="仿宋" w:eastAsia="仿宋" w:cs="仿宋"/>
          <w:b/>
          <w:color w:val="auto"/>
          <w:sz w:val="24"/>
          <w:szCs w:val="24"/>
          <w:highlight w:val="none"/>
          <w:u w:val="single"/>
          <w:lang w:eastAsia="zh-CN"/>
        </w:rPr>
        <w:t>城工集团</w:t>
      </w:r>
      <w:r>
        <w:rPr>
          <w:rFonts w:hint="eastAsia" w:ascii="仿宋" w:hAnsi="仿宋" w:eastAsia="仿宋" w:cs="仿宋"/>
          <w:b/>
          <w:color w:val="auto"/>
          <w:sz w:val="24"/>
          <w:szCs w:val="24"/>
          <w:highlight w:val="none"/>
          <w:u w:val="single"/>
        </w:rPr>
        <w:t>开标室</w:t>
      </w:r>
    </w:p>
    <w:p w14:paraId="4A324779">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李工</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val="en-US" w:eastAsia="zh-CN"/>
        </w:rPr>
        <w:t xml:space="preserve">  15989633350 </w:t>
      </w:r>
      <w:r>
        <w:rPr>
          <w:rFonts w:hint="eastAsia" w:ascii="仿宋" w:hAnsi="仿宋" w:eastAsia="仿宋" w:cs="仿宋"/>
          <w:color w:val="auto"/>
          <w:sz w:val="24"/>
          <w:szCs w:val="24"/>
          <w:highlight w:val="none"/>
          <w:u w:val="single"/>
        </w:rPr>
        <w:t xml:space="preserve"> </w:t>
      </w:r>
    </w:p>
    <w:p w14:paraId="278F729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1"/>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、注意事项</w:t>
      </w:r>
    </w:p>
    <w:p w14:paraId="7C8B50FB">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bookmarkStart w:id="0" w:name="_Hlk517879660"/>
      <w:r>
        <w:rPr>
          <w:rFonts w:hint="eastAsia" w:ascii="仿宋" w:hAnsi="仿宋" w:eastAsia="仿宋" w:cs="仿宋"/>
          <w:color w:val="auto"/>
          <w:sz w:val="24"/>
          <w:szCs w:val="24"/>
          <w:highlight w:val="none"/>
        </w:rPr>
        <w:t>1、若响应人未按规定时间将文件送达现场，视为放弃投标资格。</w:t>
      </w:r>
    </w:p>
    <w:p w14:paraId="3DD6122A">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2、采购人向响应人提供的有关资料和数据，是采购人现有的能使响应人利用的资料，采购人对响应人由此而做出的推论、理解和结论概不负责。</w:t>
      </w:r>
    </w:p>
    <w:p w14:paraId="3A5CCFFB">
      <w:pPr>
        <w:keepNext w:val="0"/>
        <w:keepLines w:val="0"/>
        <w:pageBreakBefore w:val="0"/>
        <w:kinsoku/>
        <w:wordWrap/>
        <w:overflowPunct/>
        <w:topLinePunct w:val="0"/>
        <w:autoSpaceDE/>
        <w:autoSpaceDN/>
        <w:bidi w:val="0"/>
        <w:spacing w:line="360" w:lineRule="auto"/>
        <w:ind w:firstLine="480" w:firstLineChars="200"/>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3、本项目执行过程中将遵循国家、省、市有关法律、法规、标准、技术规范和规范性文件的最新规定。</w:t>
      </w:r>
      <w:bookmarkEnd w:id="0"/>
    </w:p>
    <w:p w14:paraId="35C52FD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4、成交单位对采购文件中技术条款作出的负偏离，采购人如不接受，可要求成交单位以采购文件的要求为准，如成交单位拒绝的，采购人有权取消其成交资格或取消合同。采购人不作任何补偿。</w:t>
      </w:r>
    </w:p>
    <w:p w14:paraId="372959F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本项目仅可提交一个报价方案，提交两个或以上报价方案的响应人视为无效报价。</w:t>
      </w:r>
    </w:p>
    <w:p w14:paraId="389C98C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6、本项目不接受响应人其他附加条件。</w:t>
      </w:r>
    </w:p>
    <w:p w14:paraId="5D156FCE">
      <w:pPr>
        <w:pStyle w:val="2"/>
        <w:rPr>
          <w:rFonts w:hint="eastAsia"/>
          <w:lang w:val="en-US" w:eastAsia="zh-CN"/>
        </w:rPr>
      </w:pPr>
    </w:p>
    <w:p w14:paraId="755D1612">
      <w:pPr>
        <w:keepNext w:val="0"/>
        <w:keepLines w:val="0"/>
        <w:pageBreakBefore w:val="0"/>
        <w:widowControl/>
        <w:kinsoku/>
        <w:wordWrap/>
        <w:overflowPunct/>
        <w:topLinePunct w:val="0"/>
        <w:autoSpaceDE/>
        <w:autoSpaceDN/>
        <w:bidi w:val="0"/>
        <w:spacing w:line="360" w:lineRule="auto"/>
        <w:jc w:val="left"/>
        <w:textAlignment w:val="auto"/>
        <w:rPr>
          <w:rFonts w:ascii="仿宋" w:hAnsi="仿宋" w:eastAsia="仿宋" w:cs="仿宋"/>
          <w:color w:val="auto"/>
          <w:sz w:val="24"/>
          <w:szCs w:val="24"/>
          <w:highlight w:val="none"/>
        </w:rPr>
      </w:pPr>
    </w:p>
    <w:p w14:paraId="719BB52A">
      <w:pPr>
        <w:keepNext w:val="0"/>
        <w:keepLines w:val="0"/>
        <w:pageBreakBefore w:val="0"/>
        <w:kinsoku/>
        <w:wordWrap/>
        <w:overflowPunct/>
        <w:topLinePunct w:val="0"/>
        <w:autoSpaceDE/>
        <w:autoSpaceDN/>
        <w:bidi w:val="0"/>
        <w:spacing w:line="360" w:lineRule="auto"/>
        <w:ind w:firstLine="480" w:firstLineChars="200"/>
        <w:jc w:val="right"/>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东莞市城市工程建设集团有限公司</w:t>
      </w:r>
    </w:p>
    <w:p w14:paraId="4AE9650A">
      <w:pPr>
        <w:keepNext w:val="0"/>
        <w:keepLines w:val="0"/>
        <w:pageBreakBefore w:val="0"/>
        <w:kinsoku/>
        <w:wordWrap/>
        <w:overflowPunct/>
        <w:topLinePunct w:val="0"/>
        <w:autoSpaceDE/>
        <w:autoSpaceDN/>
        <w:bidi w:val="0"/>
        <w:spacing w:line="360" w:lineRule="auto"/>
        <w:ind w:firstLine="480" w:firstLineChars="200"/>
        <w:jc w:val="right"/>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10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27 </w:t>
      </w:r>
      <w:r>
        <w:rPr>
          <w:rFonts w:ascii="仿宋" w:hAnsi="仿宋" w:eastAsia="仿宋" w:cs="仿宋"/>
          <w:color w:val="auto"/>
          <w:sz w:val="24"/>
          <w:szCs w:val="24"/>
          <w:highlight w:val="none"/>
        </w:rPr>
        <w:t>日</w:t>
      </w:r>
    </w:p>
    <w:p w14:paraId="6239706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仿宋" w:hAnsi="仿宋" w:eastAsia="仿宋" w:cs="仿宋"/>
          <w:color w:val="auto"/>
          <w:sz w:val="24"/>
          <w:szCs w:val="24"/>
          <w:highlight w:val="none"/>
        </w:rPr>
      </w:pPr>
    </w:p>
    <w:p w14:paraId="739E1725">
      <w:pPr>
        <w:pStyle w:val="2"/>
        <w:rPr>
          <w:rFonts w:ascii="仿宋" w:hAnsi="仿宋" w:eastAsia="仿宋" w:cs="仿宋"/>
          <w:color w:val="auto"/>
          <w:sz w:val="24"/>
          <w:szCs w:val="24"/>
          <w:highlight w:val="none"/>
        </w:rPr>
      </w:pPr>
    </w:p>
    <w:p w14:paraId="531603BC">
      <w:pPr>
        <w:pStyle w:val="2"/>
        <w:rPr>
          <w:rFonts w:ascii="仿宋" w:hAnsi="仿宋" w:eastAsia="仿宋" w:cs="仿宋"/>
          <w:color w:val="auto"/>
          <w:sz w:val="24"/>
          <w:szCs w:val="24"/>
          <w:highlight w:val="none"/>
        </w:rPr>
      </w:pPr>
    </w:p>
    <w:p w14:paraId="57526A49">
      <w:pPr>
        <w:rPr>
          <w:rFonts w:ascii="仿宋" w:hAnsi="仿宋" w:eastAsia="仿宋" w:cs="仿宋"/>
          <w:color w:val="auto"/>
          <w:sz w:val="24"/>
          <w:szCs w:val="24"/>
          <w:highlight w:val="none"/>
        </w:rPr>
      </w:pPr>
      <w:r>
        <w:rPr>
          <w:rFonts w:ascii="仿宋" w:hAnsi="仿宋" w:eastAsia="仿宋" w:cs="仿宋"/>
          <w:color w:val="auto"/>
          <w:sz w:val="24"/>
          <w:szCs w:val="24"/>
          <w:highlight w:val="none"/>
        </w:rPr>
        <w:br w:type="page"/>
      </w:r>
    </w:p>
    <w:p w14:paraId="55DAD656">
      <w:pPr>
        <w:pStyle w:val="42"/>
        <w:ind w:firstLine="0" w:firstLineChars="0"/>
        <w:jc w:val="left"/>
        <w:outlineLvl w:val="1"/>
        <w:rPr>
          <w:rFonts w:hint="eastAsia" w:eastAsia="华文中宋"/>
          <w:color w:val="000000"/>
          <w:sz w:val="44"/>
          <w:szCs w:val="44"/>
          <w:highlight w:val="none"/>
        </w:rPr>
      </w:pPr>
      <w:bookmarkStart w:id="1" w:name="_Hlk524442005"/>
      <w:r>
        <w:rPr>
          <w:rFonts w:hint="eastAsia" w:ascii="仿宋" w:hAnsi="仿宋" w:eastAsia="仿宋" w:cs="仿宋"/>
          <w:color w:val="auto"/>
          <w:sz w:val="24"/>
          <w:szCs w:val="24"/>
          <w:highlight w:val="none"/>
        </w:rPr>
        <w:t>附件一</w:t>
      </w:r>
      <w:r>
        <w:rPr>
          <w:rFonts w:hint="eastAsia" w:ascii="仿宋" w:hAnsi="仿宋" w:eastAsia="仿宋" w:cs="仿宋"/>
          <w:color w:val="auto"/>
          <w:sz w:val="24"/>
          <w:szCs w:val="24"/>
          <w:highlight w:val="none"/>
          <w:lang w:val="en-US" w:eastAsia="zh-CN"/>
        </w:rPr>
        <w:t xml:space="preserve">  </w:t>
      </w:r>
      <w:r>
        <w:rPr>
          <w:rFonts w:hint="eastAsia" w:eastAsia="黑体"/>
          <w:color w:val="000000"/>
          <w:sz w:val="28"/>
          <w:szCs w:val="44"/>
        </w:rPr>
        <w:t>响应须知</w:t>
      </w:r>
    </w:p>
    <w:p w14:paraId="78D6AC00">
      <w:pPr>
        <w:jc w:val="center"/>
        <w:rPr>
          <w:rFonts w:eastAsia="华文中宋"/>
          <w:color w:val="000000"/>
          <w:sz w:val="44"/>
          <w:szCs w:val="44"/>
          <w:highlight w:val="none"/>
        </w:rPr>
      </w:pPr>
      <w:r>
        <w:rPr>
          <w:rFonts w:hint="eastAsia" w:eastAsia="华文中宋"/>
          <w:color w:val="000000"/>
          <w:sz w:val="44"/>
          <w:szCs w:val="44"/>
          <w:highlight w:val="none"/>
        </w:rPr>
        <w:t>响应须知</w:t>
      </w:r>
    </w:p>
    <w:tbl>
      <w:tblPr>
        <w:tblStyle w:val="24"/>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115CEF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18B631CC">
            <w:pPr>
              <w:pStyle w:val="22"/>
              <w:keepNext w:val="0"/>
              <w:keepLines w:val="0"/>
              <w:pageBreakBefore w:val="0"/>
              <w:kinsoku/>
              <w:wordWrap/>
              <w:overflowPunct/>
              <w:topLinePunct w:val="0"/>
              <w:autoSpaceDE/>
              <w:autoSpaceDN/>
              <w:bidi w:val="0"/>
              <w:spacing w:after="0" w:line="240" w:lineRule="auto"/>
              <w:ind w:firstLine="0" w:firstLineChars="0"/>
              <w:jc w:val="center"/>
              <w:textAlignment w:val="auto"/>
              <w:rPr>
                <w:rFonts w:ascii="Times New Roman" w:hAnsi="Times New Roman" w:eastAsia="仿宋_GB2312" w:cs="Times New Roman"/>
                <w:color w:val="000000"/>
                <w:sz w:val="24"/>
                <w:szCs w:val="24"/>
                <w:highlight w:val="none"/>
              </w:rPr>
            </w:pPr>
            <w:r>
              <w:rPr>
                <w:rFonts w:hint="eastAsia" w:ascii="Times New Roman" w:hAnsi="Times New Roman" w:eastAsia="仿宋_GB2312" w:cs="Times New Roman"/>
                <w:color w:val="000000"/>
                <w:sz w:val="24"/>
                <w:szCs w:val="24"/>
                <w:highlight w:val="none"/>
              </w:rPr>
              <w:t>项号</w:t>
            </w:r>
          </w:p>
        </w:tc>
        <w:tc>
          <w:tcPr>
            <w:tcW w:w="2275" w:type="dxa"/>
            <w:tcBorders>
              <w:top w:val="double" w:color="auto" w:sz="4" w:space="0"/>
            </w:tcBorders>
            <w:vAlign w:val="center"/>
          </w:tcPr>
          <w:p w14:paraId="0F05CFE2">
            <w:pPr>
              <w:pStyle w:val="22"/>
              <w:keepNext w:val="0"/>
              <w:keepLines w:val="0"/>
              <w:pageBreakBefore w:val="0"/>
              <w:kinsoku/>
              <w:wordWrap/>
              <w:overflowPunct/>
              <w:topLinePunct w:val="0"/>
              <w:autoSpaceDE/>
              <w:autoSpaceDN/>
              <w:bidi w:val="0"/>
              <w:spacing w:after="0" w:line="240" w:lineRule="auto"/>
              <w:ind w:firstLine="320"/>
              <w:jc w:val="center"/>
              <w:textAlignment w:val="auto"/>
              <w:rPr>
                <w:rFonts w:ascii="Times New Roman" w:hAnsi="Times New Roman" w:eastAsia="仿宋_GB2312" w:cs="Times New Roman"/>
                <w:color w:val="000000"/>
                <w:sz w:val="24"/>
                <w:szCs w:val="24"/>
                <w:highlight w:val="none"/>
              </w:rPr>
            </w:pPr>
            <w:r>
              <w:rPr>
                <w:rFonts w:hint="eastAsia" w:ascii="Times New Roman" w:hAnsi="Times New Roman" w:eastAsia="仿宋_GB2312" w:cs="Times New Roman"/>
                <w:color w:val="000000"/>
                <w:sz w:val="24"/>
                <w:szCs w:val="24"/>
                <w:highlight w:val="none"/>
              </w:rPr>
              <w:t>内容</w:t>
            </w:r>
          </w:p>
        </w:tc>
        <w:tc>
          <w:tcPr>
            <w:tcW w:w="5942" w:type="dxa"/>
            <w:tcBorders>
              <w:top w:val="double" w:color="auto" w:sz="4" w:space="0"/>
            </w:tcBorders>
            <w:vAlign w:val="center"/>
          </w:tcPr>
          <w:p w14:paraId="2646C03F">
            <w:pPr>
              <w:pStyle w:val="22"/>
              <w:keepNext w:val="0"/>
              <w:keepLines w:val="0"/>
              <w:pageBreakBefore w:val="0"/>
              <w:kinsoku/>
              <w:wordWrap/>
              <w:overflowPunct/>
              <w:topLinePunct w:val="0"/>
              <w:autoSpaceDE/>
              <w:autoSpaceDN/>
              <w:bidi w:val="0"/>
              <w:spacing w:after="0" w:line="240" w:lineRule="auto"/>
              <w:ind w:firstLine="320"/>
              <w:jc w:val="center"/>
              <w:textAlignment w:val="auto"/>
              <w:rPr>
                <w:rFonts w:ascii="Times New Roman" w:hAnsi="Times New Roman" w:eastAsia="仿宋_GB2312" w:cs="Times New Roman"/>
                <w:color w:val="000000"/>
                <w:sz w:val="24"/>
                <w:szCs w:val="24"/>
                <w:highlight w:val="none"/>
              </w:rPr>
            </w:pPr>
            <w:r>
              <w:rPr>
                <w:rFonts w:hint="eastAsia" w:ascii="Times New Roman" w:hAnsi="Times New Roman" w:eastAsia="仿宋_GB2312" w:cs="Times New Roman"/>
                <w:color w:val="000000"/>
                <w:sz w:val="24"/>
                <w:szCs w:val="24"/>
                <w:highlight w:val="none"/>
              </w:rPr>
              <w:t>说明与要求</w:t>
            </w:r>
          </w:p>
        </w:tc>
      </w:tr>
      <w:tr w14:paraId="1D991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FB78169">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eastAsia="仿宋_GB2312"/>
                <w:color w:val="000000"/>
                <w:sz w:val="24"/>
                <w:szCs w:val="24"/>
                <w:highlight w:val="none"/>
              </w:rPr>
              <w:t>1</w:t>
            </w:r>
          </w:p>
        </w:tc>
        <w:tc>
          <w:tcPr>
            <w:tcW w:w="2275" w:type="dxa"/>
            <w:vAlign w:val="center"/>
          </w:tcPr>
          <w:p w14:paraId="383E376E">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hint="eastAsia" w:eastAsia="仿宋_GB2312"/>
                <w:color w:val="000000"/>
                <w:sz w:val="24"/>
                <w:szCs w:val="24"/>
                <w:highlight w:val="none"/>
              </w:rPr>
              <w:t>项目名称</w:t>
            </w:r>
          </w:p>
        </w:tc>
        <w:tc>
          <w:tcPr>
            <w:tcW w:w="5942" w:type="dxa"/>
            <w:vAlign w:val="center"/>
          </w:tcPr>
          <w:p w14:paraId="4836B653">
            <w:pPr>
              <w:keepNext w:val="0"/>
              <w:keepLines w:val="0"/>
              <w:pageBreakBefore w:val="0"/>
              <w:kinsoku/>
              <w:wordWrap/>
              <w:overflowPunct/>
              <w:topLinePunct w:val="0"/>
              <w:autoSpaceDE/>
              <w:autoSpaceDN/>
              <w:bidi w:val="0"/>
              <w:adjustRightInd w:val="0"/>
              <w:snapToGrid w:val="0"/>
              <w:spacing w:line="240" w:lineRule="auto"/>
              <w:textAlignment w:val="auto"/>
              <w:rPr>
                <w:rFonts w:hint="default" w:eastAsia="仿宋_GB2312"/>
                <w:color w:val="000000"/>
                <w:sz w:val="24"/>
                <w:szCs w:val="24"/>
                <w:highlight w:val="none"/>
                <w:lang w:val="en-US" w:eastAsia="zh-CN"/>
              </w:rPr>
            </w:pPr>
            <w:r>
              <w:rPr>
                <w:rFonts w:hint="eastAsia" w:ascii="Times New Roman" w:hAnsi="Times New Roman" w:eastAsia="仿宋_GB2312" w:cs="Times New Roman"/>
                <w:color w:val="000000"/>
                <w:sz w:val="24"/>
                <w:szCs w:val="24"/>
                <w:highlight w:val="none"/>
                <w:lang w:val="en-US" w:eastAsia="zh-CN"/>
              </w:rPr>
              <w:t>公路工程施工总承包一级资质证书一年证换五年证咨询服务单位采购项目</w:t>
            </w:r>
          </w:p>
        </w:tc>
      </w:tr>
      <w:tr w14:paraId="5E2B27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01A1C53">
            <w:pPr>
              <w:keepNext w:val="0"/>
              <w:keepLines w:val="0"/>
              <w:pageBreakBefore w:val="0"/>
              <w:kinsoku/>
              <w:wordWrap/>
              <w:overflowPunct/>
              <w:topLinePunct w:val="0"/>
              <w:autoSpaceDE/>
              <w:autoSpaceDN/>
              <w:bidi w:val="0"/>
              <w:spacing w:line="240" w:lineRule="auto"/>
              <w:jc w:val="center"/>
              <w:textAlignment w:val="auto"/>
              <w:rPr>
                <w:rFonts w:hint="eastAsia" w:eastAsia="仿宋_GB2312"/>
                <w:color w:val="000000"/>
                <w:sz w:val="24"/>
                <w:szCs w:val="24"/>
                <w:highlight w:val="none"/>
                <w:lang w:eastAsia="zh-CN"/>
              </w:rPr>
            </w:pPr>
            <w:r>
              <w:rPr>
                <w:rFonts w:hint="eastAsia" w:eastAsia="仿宋_GB2312"/>
                <w:color w:val="000000"/>
                <w:sz w:val="24"/>
                <w:szCs w:val="24"/>
                <w:highlight w:val="none"/>
                <w:lang w:val="en-US" w:eastAsia="zh-CN"/>
              </w:rPr>
              <w:t>2</w:t>
            </w:r>
          </w:p>
        </w:tc>
        <w:tc>
          <w:tcPr>
            <w:tcW w:w="2275" w:type="dxa"/>
            <w:vAlign w:val="center"/>
          </w:tcPr>
          <w:p w14:paraId="486CD7DF">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hint="eastAsia" w:eastAsia="仿宋_GB2312"/>
                <w:color w:val="000000"/>
                <w:sz w:val="24"/>
                <w:szCs w:val="24"/>
                <w:highlight w:val="none"/>
              </w:rPr>
              <w:t>项目性质</w:t>
            </w:r>
          </w:p>
        </w:tc>
        <w:tc>
          <w:tcPr>
            <w:tcW w:w="5942" w:type="dxa"/>
            <w:vAlign w:val="center"/>
          </w:tcPr>
          <w:p w14:paraId="4F8F9D41">
            <w:pPr>
              <w:keepNext w:val="0"/>
              <w:keepLines w:val="0"/>
              <w:pageBreakBefore w:val="0"/>
              <w:kinsoku/>
              <w:wordWrap/>
              <w:overflowPunct/>
              <w:topLinePunct w:val="0"/>
              <w:autoSpaceDE/>
              <w:autoSpaceDN/>
              <w:bidi w:val="0"/>
              <w:spacing w:line="240" w:lineRule="auto"/>
              <w:textAlignment w:val="auto"/>
              <w:rPr>
                <w:rFonts w:hint="eastAsia" w:eastAsia="仿宋_GB2312"/>
                <w:color w:val="000000"/>
                <w:sz w:val="24"/>
                <w:szCs w:val="24"/>
                <w:highlight w:val="none"/>
                <w:lang w:val="en-US" w:eastAsia="zh-CN"/>
              </w:rPr>
            </w:pPr>
            <w:r>
              <w:rPr>
                <w:rFonts w:hint="eastAsia" w:eastAsia="仿宋_GB2312"/>
                <w:color w:val="000000"/>
                <w:sz w:val="24"/>
                <w:szCs w:val="24"/>
                <w:highlight w:val="none"/>
                <w:lang w:val="en-US" w:eastAsia="zh-CN"/>
              </w:rPr>
              <w:t>服务类</w:t>
            </w:r>
          </w:p>
        </w:tc>
      </w:tr>
      <w:tr w14:paraId="77BC5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C341AEA">
            <w:pPr>
              <w:keepNext w:val="0"/>
              <w:keepLines w:val="0"/>
              <w:pageBreakBefore w:val="0"/>
              <w:kinsoku/>
              <w:wordWrap/>
              <w:overflowPunct/>
              <w:topLinePunct w:val="0"/>
              <w:autoSpaceDE/>
              <w:autoSpaceDN/>
              <w:bidi w:val="0"/>
              <w:spacing w:line="240" w:lineRule="auto"/>
              <w:jc w:val="center"/>
              <w:textAlignment w:val="auto"/>
              <w:rPr>
                <w:rFonts w:hint="eastAsia" w:eastAsia="仿宋_GB2312"/>
                <w:color w:val="000000"/>
                <w:sz w:val="24"/>
                <w:szCs w:val="24"/>
                <w:highlight w:val="none"/>
                <w:lang w:eastAsia="zh-CN"/>
              </w:rPr>
            </w:pPr>
            <w:r>
              <w:rPr>
                <w:rFonts w:hint="eastAsia" w:eastAsia="仿宋_GB2312"/>
                <w:color w:val="000000"/>
                <w:sz w:val="24"/>
                <w:szCs w:val="24"/>
                <w:highlight w:val="none"/>
                <w:lang w:val="en-US" w:eastAsia="zh-CN"/>
              </w:rPr>
              <w:t>3</w:t>
            </w:r>
          </w:p>
        </w:tc>
        <w:tc>
          <w:tcPr>
            <w:tcW w:w="2275" w:type="dxa"/>
            <w:vAlign w:val="center"/>
          </w:tcPr>
          <w:p w14:paraId="6048B2A0">
            <w:pPr>
              <w:keepNext w:val="0"/>
              <w:keepLines w:val="0"/>
              <w:pageBreakBefore w:val="0"/>
              <w:kinsoku/>
              <w:wordWrap/>
              <w:overflowPunct/>
              <w:topLinePunct w:val="0"/>
              <w:autoSpaceDE/>
              <w:autoSpaceDN/>
              <w:bidi w:val="0"/>
              <w:spacing w:line="240" w:lineRule="auto"/>
              <w:jc w:val="center"/>
              <w:textAlignment w:val="auto"/>
              <w:rPr>
                <w:rFonts w:hint="default" w:eastAsia="仿宋_GB2312"/>
                <w:color w:val="000000"/>
                <w:sz w:val="24"/>
                <w:szCs w:val="24"/>
                <w:highlight w:val="none"/>
                <w:lang w:val="en-US" w:eastAsia="zh-CN"/>
              </w:rPr>
            </w:pPr>
            <w:r>
              <w:rPr>
                <w:rFonts w:hint="eastAsia" w:eastAsia="仿宋_GB2312"/>
                <w:color w:val="000000"/>
                <w:sz w:val="24"/>
                <w:szCs w:val="24"/>
                <w:highlight w:val="none"/>
                <w:lang w:val="en-US" w:eastAsia="zh-CN"/>
              </w:rPr>
              <w:t>价格模式</w:t>
            </w:r>
          </w:p>
        </w:tc>
        <w:tc>
          <w:tcPr>
            <w:tcW w:w="5942" w:type="dxa"/>
            <w:vAlign w:val="center"/>
          </w:tcPr>
          <w:p w14:paraId="1DF50C2E">
            <w:pPr>
              <w:keepNext w:val="0"/>
              <w:keepLines w:val="0"/>
              <w:pageBreakBefore w:val="0"/>
              <w:kinsoku/>
              <w:wordWrap/>
              <w:overflowPunct/>
              <w:topLinePunct w:val="0"/>
              <w:autoSpaceDE/>
              <w:autoSpaceDN/>
              <w:bidi w:val="0"/>
              <w:spacing w:line="240" w:lineRule="auto"/>
              <w:textAlignment w:val="auto"/>
              <w:rPr>
                <w:rFonts w:hint="default" w:eastAsia="仿宋_GB2312"/>
                <w:color w:val="000000"/>
                <w:sz w:val="24"/>
                <w:szCs w:val="24"/>
                <w:highlight w:val="none"/>
                <w:lang w:val="en-US" w:eastAsia="zh-CN"/>
              </w:rPr>
            </w:pPr>
            <w:r>
              <w:rPr>
                <w:rFonts w:hint="eastAsia" w:eastAsia="仿宋_GB2312"/>
                <w:color w:val="000000"/>
                <w:sz w:val="24"/>
                <w:szCs w:val="24"/>
                <w:highlight w:val="none"/>
                <w:lang w:val="en-US" w:eastAsia="zh-CN"/>
              </w:rPr>
              <w:t>固定总价</w:t>
            </w:r>
          </w:p>
        </w:tc>
      </w:tr>
      <w:tr w14:paraId="6B2C20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3266EB6">
            <w:pPr>
              <w:keepNext w:val="0"/>
              <w:keepLines w:val="0"/>
              <w:pageBreakBefore w:val="0"/>
              <w:kinsoku/>
              <w:wordWrap/>
              <w:overflowPunct/>
              <w:topLinePunct w:val="0"/>
              <w:autoSpaceDE/>
              <w:autoSpaceDN/>
              <w:bidi w:val="0"/>
              <w:spacing w:line="240" w:lineRule="auto"/>
              <w:jc w:val="center"/>
              <w:textAlignment w:val="auto"/>
              <w:rPr>
                <w:rFonts w:hint="eastAsia" w:eastAsia="仿宋_GB2312"/>
                <w:color w:val="000000"/>
                <w:sz w:val="24"/>
                <w:szCs w:val="24"/>
                <w:highlight w:val="none"/>
                <w:lang w:eastAsia="zh-CN"/>
              </w:rPr>
            </w:pPr>
            <w:r>
              <w:rPr>
                <w:rFonts w:hint="eastAsia" w:eastAsia="仿宋_GB2312"/>
                <w:color w:val="000000"/>
                <w:sz w:val="24"/>
                <w:szCs w:val="24"/>
                <w:highlight w:val="none"/>
                <w:lang w:val="en-US" w:eastAsia="zh-CN"/>
              </w:rPr>
              <w:t>4</w:t>
            </w:r>
          </w:p>
        </w:tc>
        <w:tc>
          <w:tcPr>
            <w:tcW w:w="2275" w:type="dxa"/>
            <w:vAlign w:val="center"/>
          </w:tcPr>
          <w:p w14:paraId="14839093">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hint="eastAsia" w:eastAsia="仿宋_GB2312"/>
                <w:color w:val="000000"/>
                <w:sz w:val="24"/>
                <w:szCs w:val="24"/>
                <w:highlight w:val="none"/>
                <w:lang w:val="en-US" w:eastAsia="zh-CN"/>
              </w:rPr>
              <w:t>服务</w:t>
            </w:r>
            <w:r>
              <w:rPr>
                <w:rFonts w:hint="eastAsia" w:eastAsia="仿宋_GB2312"/>
                <w:color w:val="000000"/>
                <w:sz w:val="24"/>
                <w:szCs w:val="24"/>
                <w:highlight w:val="none"/>
              </w:rPr>
              <w:t>期要求</w:t>
            </w:r>
          </w:p>
        </w:tc>
        <w:tc>
          <w:tcPr>
            <w:tcW w:w="5942" w:type="dxa"/>
            <w:vAlign w:val="center"/>
          </w:tcPr>
          <w:p w14:paraId="1899FA4E">
            <w:pPr>
              <w:keepNext w:val="0"/>
              <w:keepLines w:val="0"/>
              <w:pageBreakBefore w:val="0"/>
              <w:kinsoku/>
              <w:wordWrap/>
              <w:overflowPunct/>
              <w:topLinePunct w:val="0"/>
              <w:autoSpaceDE/>
              <w:autoSpaceDN/>
              <w:bidi w:val="0"/>
              <w:spacing w:line="240" w:lineRule="auto"/>
              <w:jc w:val="left"/>
              <w:textAlignment w:val="auto"/>
              <w:rPr>
                <w:rFonts w:hint="default" w:eastAsia="仿宋_GB2312"/>
                <w:color w:val="000000"/>
                <w:sz w:val="24"/>
                <w:szCs w:val="24"/>
                <w:highlight w:val="none"/>
                <w:lang w:val="en-US" w:eastAsia="zh-CN"/>
              </w:rPr>
            </w:pPr>
            <w:r>
              <w:rPr>
                <w:rFonts w:hint="eastAsia" w:eastAsia="仿宋_GB2312"/>
                <w:color w:val="000000"/>
                <w:sz w:val="24"/>
                <w:szCs w:val="24"/>
                <w:highlight w:val="none"/>
                <w:lang w:val="en-US" w:eastAsia="zh-CN"/>
              </w:rPr>
              <w:t>详见附件六采购需求书</w:t>
            </w:r>
          </w:p>
        </w:tc>
      </w:tr>
      <w:tr w14:paraId="46E1CB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5F985AE">
            <w:pPr>
              <w:keepNext w:val="0"/>
              <w:keepLines w:val="0"/>
              <w:pageBreakBefore w:val="0"/>
              <w:kinsoku/>
              <w:wordWrap/>
              <w:overflowPunct/>
              <w:topLinePunct w:val="0"/>
              <w:autoSpaceDE/>
              <w:autoSpaceDN/>
              <w:bidi w:val="0"/>
              <w:spacing w:line="240" w:lineRule="auto"/>
              <w:jc w:val="center"/>
              <w:textAlignment w:val="auto"/>
              <w:rPr>
                <w:rFonts w:hint="eastAsia" w:eastAsia="仿宋_GB2312"/>
                <w:color w:val="000000"/>
                <w:sz w:val="24"/>
                <w:szCs w:val="24"/>
                <w:highlight w:val="none"/>
                <w:lang w:eastAsia="zh-CN"/>
              </w:rPr>
            </w:pPr>
            <w:r>
              <w:rPr>
                <w:rFonts w:hint="eastAsia" w:eastAsia="仿宋_GB2312"/>
                <w:color w:val="000000"/>
                <w:sz w:val="24"/>
                <w:szCs w:val="24"/>
                <w:highlight w:val="none"/>
                <w:lang w:val="en-US" w:eastAsia="zh-CN"/>
              </w:rPr>
              <w:t>5</w:t>
            </w:r>
          </w:p>
        </w:tc>
        <w:tc>
          <w:tcPr>
            <w:tcW w:w="2275" w:type="dxa"/>
            <w:vAlign w:val="center"/>
          </w:tcPr>
          <w:p w14:paraId="716CB177">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hint="eastAsia" w:eastAsia="仿宋_GB2312"/>
                <w:color w:val="000000"/>
                <w:sz w:val="24"/>
                <w:szCs w:val="24"/>
                <w:highlight w:val="none"/>
                <w:lang w:val="en-US" w:eastAsia="zh-CN"/>
              </w:rPr>
              <w:t>其他</w:t>
            </w:r>
            <w:r>
              <w:rPr>
                <w:rFonts w:hint="eastAsia" w:eastAsia="仿宋_GB2312"/>
                <w:color w:val="000000"/>
                <w:sz w:val="24"/>
                <w:szCs w:val="24"/>
                <w:highlight w:val="none"/>
              </w:rPr>
              <w:t>要求</w:t>
            </w:r>
          </w:p>
        </w:tc>
        <w:tc>
          <w:tcPr>
            <w:tcW w:w="5942" w:type="dxa"/>
            <w:vAlign w:val="center"/>
          </w:tcPr>
          <w:p w14:paraId="6C596C82">
            <w:pPr>
              <w:keepNext w:val="0"/>
              <w:keepLines w:val="0"/>
              <w:pageBreakBefore w:val="0"/>
              <w:kinsoku/>
              <w:wordWrap/>
              <w:overflowPunct/>
              <w:topLinePunct w:val="0"/>
              <w:autoSpaceDE/>
              <w:autoSpaceDN/>
              <w:bidi w:val="0"/>
              <w:spacing w:line="240" w:lineRule="auto"/>
              <w:ind w:firstLine="240" w:firstLineChars="100"/>
              <w:jc w:val="left"/>
              <w:textAlignment w:val="auto"/>
              <w:rPr>
                <w:rFonts w:hint="eastAsia" w:eastAsia="宋体"/>
                <w:sz w:val="24"/>
                <w:szCs w:val="24"/>
                <w:lang w:val="en-US" w:eastAsia="zh-CN"/>
              </w:rPr>
            </w:pPr>
            <w:r>
              <w:rPr>
                <w:rFonts w:hint="eastAsia"/>
                <w:sz w:val="24"/>
                <w:szCs w:val="24"/>
                <w:lang w:val="en-US" w:eastAsia="zh-CN"/>
              </w:rPr>
              <w:t>/</w:t>
            </w:r>
          </w:p>
        </w:tc>
      </w:tr>
      <w:tr w14:paraId="792A8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C33ED35">
            <w:pPr>
              <w:keepNext w:val="0"/>
              <w:keepLines w:val="0"/>
              <w:pageBreakBefore w:val="0"/>
              <w:kinsoku/>
              <w:wordWrap/>
              <w:overflowPunct/>
              <w:topLinePunct w:val="0"/>
              <w:autoSpaceDE/>
              <w:autoSpaceDN/>
              <w:bidi w:val="0"/>
              <w:spacing w:line="240" w:lineRule="auto"/>
              <w:jc w:val="center"/>
              <w:textAlignment w:val="auto"/>
              <w:rPr>
                <w:rFonts w:hint="eastAsia" w:eastAsia="仿宋_GB2312"/>
                <w:color w:val="000000"/>
                <w:sz w:val="24"/>
                <w:szCs w:val="24"/>
                <w:highlight w:val="none"/>
                <w:lang w:eastAsia="zh-CN"/>
              </w:rPr>
            </w:pPr>
            <w:r>
              <w:rPr>
                <w:rFonts w:hint="eastAsia" w:eastAsia="仿宋_GB2312"/>
                <w:color w:val="000000"/>
                <w:sz w:val="24"/>
                <w:szCs w:val="24"/>
                <w:highlight w:val="none"/>
                <w:lang w:val="en-US" w:eastAsia="zh-CN"/>
              </w:rPr>
              <w:t>6</w:t>
            </w:r>
          </w:p>
        </w:tc>
        <w:tc>
          <w:tcPr>
            <w:tcW w:w="2275" w:type="dxa"/>
          </w:tcPr>
          <w:p w14:paraId="3AC8E271">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hint="eastAsia" w:eastAsia="仿宋_GB2312"/>
                <w:color w:val="000000"/>
                <w:sz w:val="24"/>
                <w:szCs w:val="24"/>
                <w:highlight w:val="none"/>
              </w:rPr>
              <w:t>询价保证金金额及缴纳方式</w:t>
            </w:r>
          </w:p>
        </w:tc>
        <w:tc>
          <w:tcPr>
            <w:tcW w:w="5942" w:type="dxa"/>
            <w:vAlign w:val="center"/>
          </w:tcPr>
          <w:p w14:paraId="19E73E5A">
            <w:pPr>
              <w:keepNext w:val="0"/>
              <w:keepLines w:val="0"/>
              <w:pageBreakBefore w:val="0"/>
              <w:kinsoku/>
              <w:wordWrap/>
              <w:overflowPunct/>
              <w:topLinePunct w:val="0"/>
              <w:autoSpaceDE/>
              <w:autoSpaceDN/>
              <w:bidi w:val="0"/>
              <w:adjustRightInd w:val="0"/>
              <w:snapToGrid w:val="0"/>
              <w:spacing w:line="240" w:lineRule="auto"/>
              <w:textAlignment w:val="auto"/>
              <w:rPr>
                <w:rFonts w:hint="default" w:eastAsia="仿宋_GB2312"/>
                <w:color w:val="000000"/>
                <w:sz w:val="24"/>
                <w:szCs w:val="24"/>
                <w:highlight w:val="none"/>
                <w:lang w:val="en-US" w:eastAsia="zh-CN"/>
              </w:rPr>
            </w:pPr>
            <w:r>
              <w:rPr>
                <w:rFonts w:hint="eastAsia" w:eastAsia="仿宋_GB2312"/>
                <w:color w:val="000000"/>
                <w:sz w:val="24"/>
                <w:szCs w:val="24"/>
                <w:highlight w:val="none"/>
                <w:lang w:val="en-US" w:eastAsia="zh-CN"/>
              </w:rPr>
              <w:t>本项目不设立保证金</w:t>
            </w:r>
          </w:p>
        </w:tc>
      </w:tr>
      <w:tr w14:paraId="777BCC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6C906CE">
            <w:pPr>
              <w:keepNext w:val="0"/>
              <w:keepLines w:val="0"/>
              <w:pageBreakBefore w:val="0"/>
              <w:kinsoku/>
              <w:wordWrap/>
              <w:overflowPunct/>
              <w:topLinePunct w:val="0"/>
              <w:autoSpaceDE/>
              <w:autoSpaceDN/>
              <w:bidi w:val="0"/>
              <w:spacing w:line="240" w:lineRule="auto"/>
              <w:jc w:val="center"/>
              <w:textAlignment w:val="auto"/>
              <w:rPr>
                <w:rFonts w:hint="default" w:eastAsia="仿宋_GB2312"/>
                <w:color w:val="000000"/>
                <w:sz w:val="24"/>
                <w:szCs w:val="24"/>
                <w:highlight w:val="none"/>
                <w:lang w:val="en-US" w:eastAsia="zh-CN"/>
              </w:rPr>
            </w:pPr>
            <w:r>
              <w:rPr>
                <w:rFonts w:hint="eastAsia" w:eastAsia="仿宋_GB2312"/>
                <w:color w:val="000000"/>
                <w:sz w:val="24"/>
                <w:szCs w:val="24"/>
                <w:highlight w:val="none"/>
                <w:lang w:val="en-US" w:eastAsia="zh-CN"/>
              </w:rPr>
              <w:t>7</w:t>
            </w:r>
          </w:p>
        </w:tc>
        <w:tc>
          <w:tcPr>
            <w:tcW w:w="2275" w:type="dxa"/>
          </w:tcPr>
          <w:p w14:paraId="57C0FA0C">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hint="eastAsia" w:eastAsia="仿宋_GB2312"/>
                <w:color w:val="000000"/>
                <w:sz w:val="24"/>
                <w:szCs w:val="24"/>
                <w:highlight w:val="none"/>
              </w:rPr>
              <w:t>询价有效期</w:t>
            </w:r>
          </w:p>
        </w:tc>
        <w:tc>
          <w:tcPr>
            <w:tcW w:w="5942" w:type="dxa"/>
            <w:vAlign w:val="center"/>
          </w:tcPr>
          <w:p w14:paraId="35F24C20">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eastAsia="仿宋_GB2312"/>
                <w:color w:val="000000"/>
                <w:sz w:val="24"/>
                <w:szCs w:val="24"/>
                <w:highlight w:val="none"/>
              </w:rPr>
              <w:t>90</w:t>
            </w:r>
            <w:r>
              <w:rPr>
                <w:rFonts w:hint="eastAsia" w:eastAsia="仿宋_GB2312"/>
                <w:color w:val="000000"/>
                <w:sz w:val="24"/>
                <w:szCs w:val="24"/>
                <w:highlight w:val="none"/>
              </w:rPr>
              <w:t>天</w:t>
            </w:r>
          </w:p>
        </w:tc>
      </w:tr>
      <w:tr w14:paraId="393862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5FB4B6C">
            <w:pPr>
              <w:keepNext w:val="0"/>
              <w:keepLines w:val="0"/>
              <w:pageBreakBefore w:val="0"/>
              <w:kinsoku/>
              <w:wordWrap/>
              <w:overflowPunct/>
              <w:topLinePunct w:val="0"/>
              <w:autoSpaceDE/>
              <w:autoSpaceDN/>
              <w:bidi w:val="0"/>
              <w:spacing w:line="240" w:lineRule="auto"/>
              <w:jc w:val="center"/>
              <w:textAlignment w:val="auto"/>
              <w:rPr>
                <w:rFonts w:hint="default" w:eastAsia="仿宋_GB2312"/>
                <w:color w:val="000000"/>
                <w:sz w:val="24"/>
                <w:szCs w:val="24"/>
                <w:highlight w:val="none"/>
                <w:lang w:val="en-US" w:eastAsia="zh-CN"/>
              </w:rPr>
            </w:pPr>
            <w:r>
              <w:rPr>
                <w:rFonts w:hint="eastAsia" w:eastAsia="仿宋_GB2312"/>
                <w:color w:val="000000"/>
                <w:sz w:val="24"/>
                <w:szCs w:val="24"/>
                <w:highlight w:val="none"/>
                <w:lang w:val="en-US" w:eastAsia="zh-CN"/>
              </w:rPr>
              <w:t>8</w:t>
            </w:r>
          </w:p>
        </w:tc>
        <w:tc>
          <w:tcPr>
            <w:tcW w:w="2275" w:type="dxa"/>
            <w:vAlign w:val="center"/>
          </w:tcPr>
          <w:p w14:paraId="7C00E169">
            <w:pPr>
              <w:keepNext w:val="0"/>
              <w:keepLines w:val="0"/>
              <w:pageBreakBefore w:val="0"/>
              <w:kinsoku/>
              <w:wordWrap/>
              <w:overflowPunct/>
              <w:topLinePunct w:val="0"/>
              <w:autoSpaceDE/>
              <w:autoSpaceDN/>
              <w:bidi w:val="0"/>
              <w:spacing w:line="240" w:lineRule="auto"/>
              <w:jc w:val="center"/>
              <w:textAlignment w:val="auto"/>
              <w:rPr>
                <w:rFonts w:eastAsia="仿宋_GB2312"/>
                <w:color w:val="000000"/>
                <w:sz w:val="24"/>
                <w:szCs w:val="24"/>
                <w:highlight w:val="none"/>
              </w:rPr>
            </w:pPr>
            <w:r>
              <w:rPr>
                <w:rFonts w:hint="eastAsia" w:eastAsia="仿宋_GB2312"/>
                <w:color w:val="000000"/>
                <w:sz w:val="24"/>
                <w:szCs w:val="24"/>
                <w:highlight w:val="none"/>
              </w:rPr>
              <w:t>响应人不得存在的情形</w:t>
            </w:r>
          </w:p>
        </w:tc>
        <w:tc>
          <w:tcPr>
            <w:tcW w:w="5942" w:type="dxa"/>
            <w:vAlign w:val="center"/>
          </w:tcPr>
          <w:p w14:paraId="673392BA">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eastAsia="仿宋_GB2312"/>
                <w:color w:val="000000"/>
                <w:sz w:val="24"/>
                <w:szCs w:val="24"/>
                <w:highlight w:val="none"/>
              </w:rPr>
              <w:t>1</w:t>
            </w:r>
            <w:r>
              <w:rPr>
                <w:rFonts w:hint="eastAsia" w:eastAsia="仿宋_GB2312"/>
                <w:color w:val="000000"/>
                <w:sz w:val="24"/>
                <w:szCs w:val="24"/>
                <w:highlight w:val="none"/>
              </w:rPr>
              <w:t>、响应人不得存在下列情形之一，否则采购人有权取消其参与响应资格或成交资格：</w:t>
            </w:r>
          </w:p>
          <w:p w14:paraId="20FF0477">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1</w:t>
            </w:r>
            <w:r>
              <w:rPr>
                <w:rFonts w:hint="eastAsia" w:eastAsia="仿宋_GB2312"/>
                <w:color w:val="000000"/>
                <w:sz w:val="24"/>
                <w:szCs w:val="24"/>
                <w:highlight w:val="none"/>
              </w:rPr>
              <w:t>）为采购人不具有独立法人资格的附属机构（单位）；</w:t>
            </w:r>
          </w:p>
          <w:p w14:paraId="16B2E227">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2</w:t>
            </w:r>
            <w:r>
              <w:rPr>
                <w:rFonts w:hint="eastAsia" w:eastAsia="仿宋_GB2312"/>
                <w:color w:val="000000"/>
                <w:sz w:val="24"/>
                <w:szCs w:val="24"/>
                <w:highlight w:val="none"/>
              </w:rPr>
              <w:t>）被责令停业的；</w:t>
            </w:r>
            <w:r>
              <w:rPr>
                <w:rFonts w:eastAsia="仿宋_GB2312"/>
                <w:color w:val="000000"/>
                <w:sz w:val="24"/>
                <w:szCs w:val="24"/>
                <w:highlight w:val="none"/>
              </w:rPr>
              <w:t xml:space="preserve"> </w:t>
            </w:r>
          </w:p>
          <w:p w14:paraId="19775348">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3</w:t>
            </w:r>
            <w:r>
              <w:rPr>
                <w:rFonts w:hint="eastAsia" w:eastAsia="仿宋_GB2312"/>
                <w:color w:val="000000"/>
                <w:sz w:val="24"/>
                <w:szCs w:val="24"/>
                <w:highlight w:val="none"/>
              </w:rPr>
              <w:t>）被暂停或取消投标资格的；</w:t>
            </w:r>
            <w:r>
              <w:rPr>
                <w:rFonts w:eastAsia="仿宋_GB2312"/>
                <w:color w:val="000000"/>
                <w:sz w:val="24"/>
                <w:szCs w:val="24"/>
                <w:highlight w:val="none"/>
              </w:rPr>
              <w:t xml:space="preserve"> </w:t>
            </w:r>
          </w:p>
          <w:p w14:paraId="3718BF9D">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4</w:t>
            </w:r>
            <w:r>
              <w:rPr>
                <w:rFonts w:hint="eastAsia" w:eastAsia="仿宋_GB2312"/>
                <w:color w:val="000000"/>
                <w:sz w:val="24"/>
                <w:szCs w:val="24"/>
                <w:highlight w:val="none"/>
              </w:rPr>
              <w:t>）财产被接管或冻结的；</w:t>
            </w:r>
          </w:p>
          <w:p w14:paraId="35E42393">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5</w:t>
            </w:r>
            <w:r>
              <w:rPr>
                <w:rFonts w:hint="eastAsia" w:eastAsia="仿宋_GB2312"/>
                <w:color w:val="000000"/>
                <w:sz w:val="24"/>
                <w:szCs w:val="24"/>
                <w:highlight w:val="none"/>
              </w:rPr>
              <w:t>）在最近三年内有骗取中标、严重违约、重大质量或安全问题的；</w:t>
            </w:r>
          </w:p>
          <w:p w14:paraId="4D00ACA1">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6</w:t>
            </w:r>
            <w:r>
              <w:rPr>
                <w:rFonts w:hint="eastAsia" w:eastAsia="仿宋_GB2312"/>
                <w:color w:val="000000"/>
                <w:sz w:val="24"/>
                <w:szCs w:val="24"/>
                <w:highlight w:val="none"/>
              </w:rPr>
              <w:t>）法律法规规定的其他情形；</w:t>
            </w:r>
          </w:p>
          <w:p w14:paraId="0286370A">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7</w:t>
            </w:r>
            <w:r>
              <w:rPr>
                <w:rFonts w:hint="eastAsia" w:eastAsia="仿宋_GB2312"/>
                <w:color w:val="000000"/>
                <w:sz w:val="24"/>
                <w:szCs w:val="24"/>
                <w:highlight w:val="none"/>
              </w:rPr>
              <w:t>）询价文件规定的其他情形：见询价公告或询价响应须知前附表。</w:t>
            </w:r>
          </w:p>
          <w:p w14:paraId="4942E175">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eastAsia="仿宋_GB2312"/>
                <w:color w:val="000000"/>
                <w:sz w:val="24"/>
                <w:szCs w:val="24"/>
                <w:highlight w:val="none"/>
              </w:rPr>
              <w:t>2</w:t>
            </w:r>
            <w:r>
              <w:rPr>
                <w:rFonts w:hint="eastAsia" w:eastAsia="仿宋_GB2312"/>
                <w:color w:val="000000"/>
                <w:sz w:val="24"/>
                <w:szCs w:val="24"/>
                <w:highlight w:val="none"/>
              </w:rPr>
              <w:t>、响应人在询价活动中有下列行为之一的，应视情节轻重，暂停或取消其参与采购人旗下采购项目的资格：</w:t>
            </w:r>
          </w:p>
          <w:p w14:paraId="0872B310">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1</w:t>
            </w:r>
            <w:r>
              <w:rPr>
                <w:rFonts w:hint="eastAsia" w:eastAsia="仿宋_GB2312"/>
                <w:color w:val="000000"/>
                <w:sz w:val="24"/>
                <w:szCs w:val="24"/>
                <w:highlight w:val="none"/>
              </w:rPr>
              <w:t>）响应人之间相互串通、或与采购人、代理机构、评审委员会成员串通询价，损害采购人或者其他响应人的合法权益的；</w:t>
            </w:r>
            <w:r>
              <w:rPr>
                <w:rFonts w:eastAsia="仿宋_GB2312"/>
                <w:color w:val="000000"/>
                <w:sz w:val="24"/>
                <w:szCs w:val="24"/>
                <w:highlight w:val="none"/>
              </w:rPr>
              <w:t xml:space="preserve"> </w:t>
            </w:r>
          </w:p>
          <w:p w14:paraId="41734AA8">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2</w:t>
            </w:r>
            <w:r>
              <w:rPr>
                <w:rFonts w:hint="eastAsia" w:eastAsia="仿宋_GB2312"/>
                <w:color w:val="000000"/>
                <w:sz w:val="24"/>
                <w:szCs w:val="24"/>
                <w:highlight w:val="none"/>
              </w:rPr>
              <w:t>）向采购人、代理机构、评审委会成员或其他相关工作人员行贿的；</w:t>
            </w:r>
            <w:r>
              <w:rPr>
                <w:rFonts w:eastAsia="仿宋_GB2312"/>
                <w:color w:val="000000"/>
                <w:sz w:val="24"/>
                <w:szCs w:val="24"/>
                <w:highlight w:val="none"/>
              </w:rPr>
              <w:t xml:space="preserve"> </w:t>
            </w:r>
          </w:p>
          <w:p w14:paraId="6FCE3B5D">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3</w:t>
            </w:r>
            <w:r>
              <w:rPr>
                <w:rFonts w:hint="eastAsia" w:eastAsia="仿宋_GB2312"/>
                <w:color w:val="000000"/>
                <w:sz w:val="24"/>
                <w:szCs w:val="24"/>
                <w:highlight w:val="none"/>
              </w:rPr>
              <w:t>）以他人名义询价或以其他方式弄虚作假，骗取成交的；</w:t>
            </w:r>
            <w:r>
              <w:rPr>
                <w:rFonts w:eastAsia="仿宋_GB2312"/>
                <w:color w:val="000000"/>
                <w:sz w:val="24"/>
                <w:szCs w:val="24"/>
                <w:highlight w:val="none"/>
              </w:rPr>
              <w:t xml:space="preserve"> </w:t>
            </w:r>
          </w:p>
          <w:p w14:paraId="7BCFB25F">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4</w:t>
            </w:r>
            <w:r>
              <w:rPr>
                <w:rFonts w:hint="eastAsia" w:eastAsia="仿宋_GB2312"/>
                <w:color w:val="000000"/>
                <w:sz w:val="24"/>
                <w:szCs w:val="24"/>
                <w:highlight w:val="none"/>
              </w:rPr>
              <w:t>）成交人私自将成交项目转让给他人的，将成交项目肢解后分别转让给他人的；</w:t>
            </w:r>
            <w:r>
              <w:rPr>
                <w:rFonts w:eastAsia="仿宋_GB2312"/>
                <w:color w:val="000000"/>
                <w:sz w:val="24"/>
                <w:szCs w:val="24"/>
                <w:highlight w:val="none"/>
              </w:rPr>
              <w:t xml:space="preserve"> </w:t>
            </w:r>
          </w:p>
          <w:p w14:paraId="1CF39D66">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5</w:t>
            </w:r>
            <w:r>
              <w:rPr>
                <w:rFonts w:hint="eastAsia" w:eastAsia="仿宋_GB2312"/>
                <w:color w:val="000000"/>
                <w:sz w:val="24"/>
                <w:szCs w:val="24"/>
                <w:highlight w:val="none"/>
              </w:rPr>
              <w:t>）成交人无正当理由不与采购人订立合同，在签订合同时向采购人提出附加条件，或者不按照询价文件要求提交履约担保的；</w:t>
            </w:r>
          </w:p>
          <w:p w14:paraId="7BAAFC62">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6</w:t>
            </w:r>
            <w:r>
              <w:rPr>
                <w:rFonts w:hint="eastAsia" w:eastAsia="仿宋_GB2312"/>
                <w:color w:val="000000"/>
                <w:sz w:val="24"/>
                <w:szCs w:val="24"/>
                <w:highlight w:val="none"/>
              </w:rPr>
              <w:t>）响应人捏造事实、伪造材料或者以非法手段取得证明材料进行投诉，给他人造成损失的；</w:t>
            </w:r>
            <w:r>
              <w:rPr>
                <w:rFonts w:eastAsia="仿宋_GB2312"/>
                <w:color w:val="000000"/>
                <w:sz w:val="24"/>
                <w:szCs w:val="24"/>
                <w:highlight w:val="none"/>
              </w:rPr>
              <w:t xml:space="preserve"> </w:t>
            </w:r>
          </w:p>
          <w:p w14:paraId="596C29FE">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7</w:t>
            </w:r>
            <w:r>
              <w:rPr>
                <w:rFonts w:hint="eastAsia" w:eastAsia="仿宋_GB2312"/>
                <w:color w:val="000000"/>
                <w:sz w:val="24"/>
                <w:szCs w:val="24"/>
                <w:highlight w:val="none"/>
              </w:rPr>
              <w:t>）相关工作人员应当回避而不回避的；</w:t>
            </w:r>
            <w:r>
              <w:rPr>
                <w:rFonts w:eastAsia="仿宋_GB2312"/>
                <w:color w:val="000000"/>
                <w:sz w:val="24"/>
                <w:szCs w:val="24"/>
                <w:highlight w:val="none"/>
              </w:rPr>
              <w:t xml:space="preserve"> </w:t>
            </w:r>
          </w:p>
          <w:p w14:paraId="63644E29">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8</w:t>
            </w:r>
            <w:r>
              <w:rPr>
                <w:rFonts w:hint="eastAsia" w:eastAsia="仿宋_GB2312"/>
                <w:color w:val="000000"/>
                <w:sz w:val="24"/>
                <w:szCs w:val="24"/>
                <w:highlight w:val="none"/>
              </w:rPr>
              <w:t>）其他违法违规的行为。</w:t>
            </w:r>
          </w:p>
          <w:p w14:paraId="2A27C8FF">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eastAsia="仿宋_GB2312"/>
                <w:color w:val="000000"/>
                <w:sz w:val="24"/>
                <w:szCs w:val="24"/>
                <w:highlight w:val="none"/>
              </w:rPr>
              <w:t>3</w:t>
            </w:r>
            <w:r>
              <w:rPr>
                <w:rFonts w:hint="eastAsia" w:eastAsia="仿宋_GB2312"/>
                <w:color w:val="000000"/>
                <w:sz w:val="24"/>
                <w:szCs w:val="24"/>
                <w:highlight w:val="none"/>
              </w:rPr>
              <w:t>、有下列情形之一的，视为响应人串通询价，其响应无效：</w:t>
            </w:r>
          </w:p>
          <w:p w14:paraId="4A80A688">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1</w:t>
            </w:r>
            <w:r>
              <w:rPr>
                <w:rFonts w:hint="eastAsia" w:eastAsia="仿宋_GB2312"/>
                <w:color w:val="000000"/>
                <w:sz w:val="24"/>
                <w:szCs w:val="24"/>
                <w:highlight w:val="none"/>
              </w:rPr>
              <w:t>）不同响应人的响应文件由同一单位或者个人编制；</w:t>
            </w:r>
          </w:p>
          <w:p w14:paraId="513662DB">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2</w:t>
            </w:r>
            <w:r>
              <w:rPr>
                <w:rFonts w:hint="eastAsia" w:eastAsia="仿宋_GB2312"/>
                <w:color w:val="000000"/>
                <w:sz w:val="24"/>
                <w:szCs w:val="24"/>
                <w:highlight w:val="none"/>
              </w:rPr>
              <w:t>）不同响应人委托同一单位或者个人办理响应事宜；</w:t>
            </w:r>
          </w:p>
          <w:p w14:paraId="0D8E5888">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3</w:t>
            </w:r>
            <w:r>
              <w:rPr>
                <w:rFonts w:hint="eastAsia" w:eastAsia="仿宋_GB2312"/>
                <w:color w:val="000000"/>
                <w:sz w:val="24"/>
                <w:szCs w:val="24"/>
                <w:highlight w:val="none"/>
              </w:rPr>
              <w:t>）不同响应人的响应文件载明的项目管理成员或者联系人员为同一人；</w:t>
            </w:r>
          </w:p>
          <w:p w14:paraId="56E98154">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4</w:t>
            </w:r>
            <w:r>
              <w:rPr>
                <w:rFonts w:hint="eastAsia" w:eastAsia="仿宋_GB2312"/>
                <w:color w:val="000000"/>
                <w:sz w:val="24"/>
                <w:szCs w:val="24"/>
                <w:highlight w:val="none"/>
              </w:rPr>
              <w:t>）不同响应人的响应文件异常一致或者响应报价呈规律性差异；</w:t>
            </w:r>
          </w:p>
          <w:p w14:paraId="4389042B">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5</w:t>
            </w:r>
            <w:r>
              <w:rPr>
                <w:rFonts w:hint="eastAsia" w:eastAsia="仿宋_GB2312"/>
                <w:color w:val="000000"/>
                <w:sz w:val="24"/>
                <w:szCs w:val="24"/>
                <w:highlight w:val="none"/>
              </w:rPr>
              <w:t>）不同响应人的响应文件相互混装；</w:t>
            </w:r>
          </w:p>
          <w:p w14:paraId="6596E509">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6</w:t>
            </w:r>
            <w:r>
              <w:rPr>
                <w:rFonts w:hint="eastAsia" w:eastAsia="仿宋_GB2312"/>
                <w:color w:val="000000"/>
                <w:sz w:val="24"/>
                <w:szCs w:val="24"/>
                <w:highlight w:val="none"/>
              </w:rPr>
              <w:t>）不同响应人的响应保证金从同一单位或者个人的账户转出。</w:t>
            </w:r>
          </w:p>
          <w:p w14:paraId="44154B50">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eastAsia="仿宋_GB2312"/>
                <w:color w:val="000000"/>
                <w:sz w:val="24"/>
                <w:szCs w:val="24"/>
                <w:highlight w:val="none"/>
              </w:rPr>
              <w:t>4</w:t>
            </w:r>
            <w:r>
              <w:rPr>
                <w:rFonts w:hint="eastAsia" w:eastAsia="仿宋_GB2312"/>
                <w:color w:val="000000"/>
                <w:sz w:val="24"/>
                <w:szCs w:val="24"/>
                <w:highlight w:val="none"/>
              </w:rPr>
              <w:t>、使用通过受让或者租借等方式获取的资格、资质证书响应的，属于以他人名义询价，其响应无效：</w:t>
            </w:r>
          </w:p>
          <w:p w14:paraId="1F5801F8">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eastAsia="仿宋_GB2312"/>
                <w:color w:val="000000"/>
                <w:sz w:val="24"/>
                <w:szCs w:val="24"/>
                <w:highlight w:val="none"/>
              </w:rPr>
              <w:t>5</w:t>
            </w:r>
            <w:r>
              <w:rPr>
                <w:rFonts w:hint="eastAsia" w:eastAsia="仿宋_GB2312"/>
                <w:color w:val="000000"/>
                <w:sz w:val="24"/>
                <w:szCs w:val="24"/>
                <w:highlight w:val="none"/>
              </w:rPr>
              <w:t>、有下列情形之一的，属于以其他方式弄虚作假的行为，其响应无效：</w:t>
            </w:r>
          </w:p>
          <w:p w14:paraId="3E62CE8C">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1</w:t>
            </w:r>
            <w:r>
              <w:rPr>
                <w:rFonts w:hint="eastAsia" w:eastAsia="仿宋_GB2312"/>
                <w:color w:val="000000"/>
                <w:sz w:val="24"/>
                <w:szCs w:val="24"/>
                <w:highlight w:val="none"/>
              </w:rPr>
              <w:t>）使用伪造、变造的许可证件；</w:t>
            </w:r>
          </w:p>
          <w:p w14:paraId="41ABA22F">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2</w:t>
            </w:r>
            <w:r>
              <w:rPr>
                <w:rFonts w:hint="eastAsia" w:eastAsia="仿宋_GB2312"/>
                <w:color w:val="000000"/>
                <w:sz w:val="24"/>
                <w:szCs w:val="24"/>
                <w:highlight w:val="none"/>
              </w:rPr>
              <w:t>）提供虚假的财务状况或者业绩；</w:t>
            </w:r>
            <w:r>
              <w:rPr>
                <w:rFonts w:eastAsia="仿宋_GB2312"/>
                <w:color w:val="000000"/>
                <w:sz w:val="24"/>
                <w:szCs w:val="24"/>
                <w:highlight w:val="none"/>
              </w:rPr>
              <w:t xml:space="preserve"> </w:t>
            </w:r>
          </w:p>
          <w:p w14:paraId="156FDEBC">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3</w:t>
            </w:r>
            <w:r>
              <w:rPr>
                <w:rFonts w:hint="eastAsia" w:eastAsia="仿宋_GB2312"/>
                <w:color w:val="000000"/>
                <w:sz w:val="24"/>
                <w:szCs w:val="24"/>
                <w:highlight w:val="none"/>
              </w:rPr>
              <w:t>）提供虚假的项目负责人或者主要技术人员简历、劳动关系证明；</w:t>
            </w:r>
            <w:r>
              <w:rPr>
                <w:rFonts w:eastAsia="仿宋_GB2312"/>
                <w:color w:val="000000"/>
                <w:sz w:val="24"/>
                <w:szCs w:val="24"/>
                <w:highlight w:val="none"/>
              </w:rPr>
              <w:t xml:space="preserve"> </w:t>
            </w:r>
          </w:p>
          <w:p w14:paraId="323DA3FE">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4</w:t>
            </w:r>
            <w:r>
              <w:rPr>
                <w:rFonts w:hint="eastAsia" w:eastAsia="仿宋_GB2312"/>
                <w:color w:val="000000"/>
                <w:sz w:val="24"/>
                <w:szCs w:val="24"/>
                <w:highlight w:val="none"/>
              </w:rPr>
              <w:t>）提供虚假的信用状况；</w:t>
            </w:r>
          </w:p>
          <w:p w14:paraId="2CB2DE76">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w:t>
            </w:r>
            <w:r>
              <w:rPr>
                <w:rFonts w:eastAsia="仿宋_GB2312"/>
                <w:color w:val="000000"/>
                <w:sz w:val="24"/>
                <w:szCs w:val="24"/>
                <w:highlight w:val="none"/>
              </w:rPr>
              <w:t>5</w:t>
            </w:r>
            <w:r>
              <w:rPr>
                <w:rFonts w:hint="eastAsia" w:eastAsia="仿宋_GB2312"/>
                <w:color w:val="000000"/>
                <w:sz w:val="24"/>
                <w:szCs w:val="24"/>
                <w:highlight w:val="none"/>
              </w:rPr>
              <w:t>）其他弄虚作假的行为。</w:t>
            </w:r>
          </w:p>
          <w:p w14:paraId="09C29715">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eastAsia="仿宋_GB2312"/>
                <w:color w:val="000000"/>
                <w:sz w:val="24"/>
                <w:szCs w:val="24"/>
                <w:highlight w:val="none"/>
              </w:rPr>
              <w:t>6</w:t>
            </w:r>
            <w:r>
              <w:rPr>
                <w:rFonts w:hint="eastAsia" w:eastAsia="仿宋_GB2312"/>
                <w:color w:val="000000"/>
                <w:sz w:val="24"/>
                <w:szCs w:val="24"/>
                <w:highlight w:val="none"/>
              </w:rPr>
              <w:t>、响应人相关工作人员与采购人或采购代理机构有以下利害关系之一的，应当回避：</w:t>
            </w:r>
            <w:r>
              <w:rPr>
                <w:rFonts w:eastAsia="仿宋_GB2312"/>
                <w:color w:val="000000"/>
                <w:sz w:val="24"/>
                <w:szCs w:val="24"/>
                <w:highlight w:val="none"/>
              </w:rPr>
              <w:t xml:space="preserve"> </w:t>
            </w:r>
          </w:p>
          <w:p w14:paraId="7EE35711">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（一）是其主要负责人的近亲属的；</w:t>
            </w:r>
          </w:p>
          <w:p w14:paraId="5A1DABBE">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（二）询价活动前</w:t>
            </w:r>
            <w:r>
              <w:rPr>
                <w:rFonts w:eastAsia="仿宋_GB2312"/>
                <w:color w:val="000000"/>
                <w:sz w:val="24"/>
                <w:szCs w:val="24"/>
                <w:highlight w:val="none"/>
              </w:rPr>
              <w:t>3</w:t>
            </w:r>
            <w:r>
              <w:rPr>
                <w:rFonts w:hint="eastAsia" w:eastAsia="仿宋_GB2312"/>
                <w:color w:val="000000"/>
                <w:sz w:val="24"/>
                <w:szCs w:val="24"/>
                <w:highlight w:val="none"/>
              </w:rPr>
              <w:t>年内与其存在劳动关系，担任其董事、监事，是其控股股东或实际控制人，或存在其他经济利益关系，可能影响询价活动公平公正的；</w:t>
            </w:r>
          </w:p>
          <w:p w14:paraId="796543DE">
            <w:pPr>
              <w:keepNext w:val="0"/>
              <w:keepLines w:val="0"/>
              <w:pageBreakBefore w:val="0"/>
              <w:kinsoku/>
              <w:wordWrap/>
              <w:overflowPunct/>
              <w:topLinePunct w:val="0"/>
              <w:autoSpaceDE/>
              <w:autoSpaceDN/>
              <w:bidi w:val="0"/>
              <w:adjustRightInd w:val="0"/>
              <w:snapToGrid w:val="0"/>
              <w:spacing w:line="240" w:lineRule="auto"/>
              <w:textAlignment w:val="auto"/>
              <w:rPr>
                <w:rFonts w:eastAsia="仿宋_GB2312"/>
                <w:color w:val="000000"/>
                <w:sz w:val="24"/>
                <w:szCs w:val="24"/>
                <w:highlight w:val="none"/>
              </w:rPr>
            </w:pPr>
            <w:r>
              <w:rPr>
                <w:rFonts w:hint="eastAsia" w:eastAsia="仿宋_GB2312"/>
                <w:color w:val="000000"/>
                <w:sz w:val="24"/>
                <w:szCs w:val="24"/>
                <w:highlight w:val="none"/>
              </w:rPr>
              <w:t>（三）其他可能影响询价活动公平、公正进行的关系。</w:t>
            </w:r>
          </w:p>
        </w:tc>
      </w:tr>
    </w:tbl>
    <w:p w14:paraId="64BC5FD6">
      <w:pPr>
        <w:pStyle w:val="42"/>
        <w:ind w:firstLine="0" w:firstLineChars="0"/>
        <w:jc w:val="left"/>
        <w:outlineLvl w:val="1"/>
        <w:rPr>
          <w:rFonts w:hint="eastAsia" w:ascii="仿宋" w:hAnsi="仿宋" w:eastAsia="仿宋" w:cs="仿宋"/>
          <w:b/>
          <w:bCs/>
          <w:color w:val="auto"/>
          <w:sz w:val="24"/>
          <w:szCs w:val="24"/>
          <w:highlight w:val="none"/>
        </w:rPr>
      </w:pPr>
    </w:p>
    <w:p w14:paraId="213B9C24">
      <w:pPr>
        <w:pStyle w:val="43"/>
        <w:bidi w:val="0"/>
        <w:rPr>
          <w:rFonts w:hint="eastAsia" w:ascii="仿宋" w:hAnsi="仿宋" w:eastAsia="仿宋" w:cs="仿宋"/>
          <w:color w:val="auto"/>
          <w:sz w:val="24"/>
          <w:szCs w:val="24"/>
          <w:highlight w:val="none"/>
        </w:rPr>
      </w:pPr>
    </w:p>
    <w:p w14:paraId="24D9E245">
      <w:pPr>
        <w:pStyle w:val="43"/>
        <w:bidi w:val="0"/>
        <w:rPr>
          <w:rFonts w:hint="eastAsia" w:ascii="仿宋" w:hAnsi="仿宋" w:eastAsia="仿宋" w:cs="仿宋"/>
          <w:color w:val="auto"/>
          <w:sz w:val="24"/>
          <w:szCs w:val="24"/>
          <w:highlight w:val="none"/>
        </w:rPr>
      </w:pPr>
    </w:p>
    <w:p w14:paraId="20565AA7">
      <w:pPr>
        <w:pStyle w:val="43"/>
        <w:bidi w:val="0"/>
        <w:rPr>
          <w:rFonts w:hint="eastAsia" w:ascii="仿宋" w:hAnsi="仿宋" w:eastAsia="仿宋" w:cs="仿宋"/>
          <w:color w:val="auto"/>
          <w:sz w:val="24"/>
          <w:szCs w:val="24"/>
          <w:highlight w:val="none"/>
        </w:rPr>
      </w:pPr>
    </w:p>
    <w:p w14:paraId="4CCD33B7">
      <w:pPr>
        <w:pStyle w:val="43"/>
        <w:bidi w:val="0"/>
        <w:rPr>
          <w:rFonts w:hint="eastAsia" w:ascii="仿宋" w:hAnsi="仿宋" w:eastAsia="仿宋" w:cs="仿宋"/>
          <w:color w:val="auto"/>
          <w:sz w:val="24"/>
          <w:szCs w:val="24"/>
          <w:highlight w:val="none"/>
        </w:rPr>
      </w:pPr>
    </w:p>
    <w:p w14:paraId="3BB8D360">
      <w:pPr>
        <w:pStyle w:val="43"/>
        <w:bidi w:val="0"/>
        <w:rPr>
          <w:rFonts w:hint="eastAsia" w:ascii="仿宋" w:hAnsi="仿宋" w:eastAsia="仿宋" w:cs="仿宋"/>
          <w:color w:val="auto"/>
          <w:sz w:val="24"/>
          <w:szCs w:val="24"/>
          <w:highlight w:val="none"/>
        </w:rPr>
      </w:pPr>
    </w:p>
    <w:p w14:paraId="2573469E">
      <w:pPr>
        <w:pStyle w:val="43"/>
        <w:bidi w:val="0"/>
        <w:rPr>
          <w:rFonts w:hint="eastAsia" w:ascii="仿宋" w:hAnsi="仿宋" w:eastAsia="仿宋" w:cs="仿宋"/>
          <w:color w:val="auto"/>
          <w:sz w:val="24"/>
          <w:szCs w:val="24"/>
          <w:highlight w:val="none"/>
        </w:rPr>
      </w:pPr>
    </w:p>
    <w:p w14:paraId="788CEC5D">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F0D3DFE">
      <w:pPr>
        <w:pStyle w:val="43"/>
        <w:bidi w:val="0"/>
        <w:rPr>
          <w:rFonts w:hint="eastAsia" w:ascii="仿宋_GB2312" w:hAnsi="仿宋_GB2312" w:eastAsia="仿宋_GB2312" w:cs="仿宋_GB2312"/>
          <w:b/>
          <w:bCs/>
          <w:color w:val="auto"/>
          <w:sz w:val="32"/>
        </w:rPr>
      </w:pPr>
    </w:p>
    <w:p w14:paraId="291BF0E2">
      <w:pPr>
        <w:pStyle w:val="43"/>
        <w:bidi w:val="0"/>
        <w:rPr>
          <w:rFonts w:hint="eastAsia" w:ascii="仿宋_GB2312" w:hAnsi="仿宋_GB2312" w:eastAsia="仿宋_GB2312" w:cs="仿宋_GB2312"/>
          <w:b/>
          <w:bCs/>
          <w:color w:val="auto"/>
          <w:sz w:val="32"/>
        </w:rPr>
      </w:pPr>
    </w:p>
    <w:p w14:paraId="40B7713A">
      <w:pPr>
        <w:pStyle w:val="43"/>
        <w:bidi w:val="0"/>
        <w:rPr>
          <w:rFonts w:hint="eastAsia" w:ascii="仿宋_GB2312" w:hAnsi="仿宋_GB2312" w:eastAsia="仿宋_GB2312" w:cs="仿宋_GB2312"/>
          <w:b/>
          <w:bCs/>
          <w:color w:val="auto"/>
          <w:sz w:val="32"/>
        </w:rPr>
      </w:pPr>
    </w:p>
    <w:p w14:paraId="72B0446F">
      <w:pPr>
        <w:pStyle w:val="43"/>
        <w:bidi w:val="0"/>
        <w:rPr>
          <w:rFonts w:hint="eastAsia" w:ascii="仿宋_GB2312" w:hAnsi="仿宋_GB2312" w:eastAsia="仿宋_GB2312" w:cs="仿宋_GB2312"/>
          <w:b/>
          <w:bCs/>
          <w:color w:val="auto"/>
          <w:sz w:val="32"/>
        </w:rPr>
      </w:pPr>
    </w:p>
    <w:p w14:paraId="3CAA00FE">
      <w:pPr>
        <w:pStyle w:val="43"/>
        <w:bidi w:val="0"/>
        <w:rPr>
          <w:rFonts w:hint="eastAsia" w:ascii="仿宋_GB2312" w:hAnsi="仿宋_GB2312" w:eastAsia="仿宋_GB2312" w:cs="仿宋_GB2312"/>
          <w:b/>
          <w:bCs/>
          <w:color w:val="auto"/>
          <w:sz w:val="32"/>
        </w:rPr>
      </w:pPr>
    </w:p>
    <w:p w14:paraId="25CFC021">
      <w:pPr>
        <w:pStyle w:val="43"/>
        <w:bidi w:val="0"/>
        <w:rPr>
          <w:rFonts w:hint="eastAsia" w:ascii="仿宋_GB2312" w:hAnsi="仿宋_GB2312" w:eastAsia="仿宋_GB2312" w:cs="仿宋_GB2312"/>
          <w:b/>
          <w:bCs/>
          <w:color w:val="auto"/>
          <w:sz w:val="32"/>
        </w:rPr>
      </w:pPr>
    </w:p>
    <w:p w14:paraId="12FBA5EE">
      <w:pPr>
        <w:pStyle w:val="43"/>
        <w:bidi w:val="0"/>
        <w:jc w:val="center"/>
        <w:rPr>
          <w:rFonts w:hint="eastAsia" w:ascii="仿宋" w:hAnsi="仿宋" w:eastAsia="仿宋" w:cs="仿宋"/>
          <w:color w:val="auto"/>
          <w:sz w:val="24"/>
          <w:szCs w:val="24"/>
          <w:highlight w:val="none"/>
        </w:rPr>
      </w:pPr>
      <w:r>
        <w:rPr>
          <w:rFonts w:hint="eastAsia" w:ascii="仿宋_GB2312" w:hAnsi="仿宋_GB2312" w:eastAsia="仿宋_GB2312" w:cs="仿宋_GB2312"/>
          <w:b/>
          <w:bCs/>
          <w:color w:val="auto"/>
          <w:sz w:val="32"/>
        </w:rPr>
        <w:t>投标文件（格式）</w:t>
      </w:r>
    </w:p>
    <w:p w14:paraId="21A54736">
      <w:pPr>
        <w:pStyle w:val="43"/>
        <w:bidi w:val="0"/>
        <w:rPr>
          <w:rFonts w:hint="eastAsia" w:ascii="仿宋" w:hAnsi="仿宋" w:eastAsia="仿宋" w:cs="仿宋"/>
          <w:color w:val="auto"/>
          <w:sz w:val="24"/>
          <w:szCs w:val="24"/>
          <w:highlight w:val="none"/>
        </w:rPr>
      </w:pPr>
    </w:p>
    <w:p w14:paraId="5692A0C9">
      <w:pPr>
        <w:pStyle w:val="43"/>
        <w:bidi w:val="0"/>
        <w:rPr>
          <w:rFonts w:hint="eastAsia" w:ascii="仿宋" w:hAnsi="仿宋" w:eastAsia="仿宋" w:cs="仿宋"/>
          <w:color w:val="auto"/>
          <w:sz w:val="24"/>
          <w:szCs w:val="24"/>
          <w:highlight w:val="none"/>
        </w:rPr>
      </w:pPr>
    </w:p>
    <w:p w14:paraId="5CF92026">
      <w:pPr>
        <w:pStyle w:val="43"/>
        <w:bidi w:val="0"/>
        <w:rPr>
          <w:rFonts w:hint="eastAsia" w:ascii="仿宋" w:hAnsi="仿宋" w:eastAsia="仿宋" w:cs="仿宋"/>
          <w:color w:val="auto"/>
          <w:sz w:val="24"/>
          <w:szCs w:val="24"/>
          <w:highlight w:val="none"/>
        </w:rPr>
      </w:pPr>
    </w:p>
    <w:p w14:paraId="0187FC0B">
      <w:pPr>
        <w:widowControl/>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159D94B">
      <w:pPr>
        <w:widowControl/>
        <w:spacing w:line="360" w:lineRule="auto"/>
        <w:jc w:val="center"/>
        <w:rPr>
          <w:rFonts w:hint="eastAsia" w:ascii="仿宋" w:hAnsi="仿宋" w:eastAsia="仿宋" w:cs="仿宋"/>
          <w:color w:val="auto"/>
          <w:sz w:val="24"/>
          <w:szCs w:val="24"/>
          <w:highlight w:val="none"/>
        </w:rPr>
      </w:pPr>
    </w:p>
    <w:p w14:paraId="11AB5A5E">
      <w:pPr>
        <w:widowControl/>
        <w:spacing w:line="360" w:lineRule="auto"/>
        <w:jc w:val="center"/>
        <w:rPr>
          <w:rFonts w:hint="eastAsia" w:ascii="仿宋" w:hAnsi="仿宋" w:eastAsia="仿宋" w:cs="仿宋"/>
          <w:color w:val="auto"/>
          <w:sz w:val="24"/>
          <w:szCs w:val="24"/>
          <w:highlight w:val="none"/>
        </w:rPr>
      </w:pPr>
    </w:p>
    <w:p w14:paraId="7E9602D6">
      <w:pPr>
        <w:widowControl/>
        <w:spacing w:line="360" w:lineRule="auto"/>
        <w:jc w:val="center"/>
        <w:rPr>
          <w:rFonts w:hint="eastAsia" w:ascii="仿宋" w:hAnsi="仿宋" w:eastAsia="仿宋" w:cs="仿宋"/>
          <w:color w:val="auto"/>
          <w:sz w:val="24"/>
          <w:szCs w:val="24"/>
          <w:highlight w:val="none"/>
        </w:rPr>
      </w:pPr>
    </w:p>
    <w:p w14:paraId="5DA39EFB">
      <w:pPr>
        <w:widowControl/>
        <w:spacing w:line="360" w:lineRule="auto"/>
        <w:jc w:val="center"/>
        <w:rPr>
          <w:rFonts w:hint="eastAsia" w:ascii="仿宋" w:hAnsi="仿宋" w:eastAsia="仿宋" w:cs="仿宋"/>
          <w:color w:val="auto"/>
          <w:sz w:val="24"/>
          <w:szCs w:val="24"/>
          <w:highlight w:val="none"/>
        </w:rPr>
      </w:pPr>
    </w:p>
    <w:p w14:paraId="57B9A1E4">
      <w:pPr>
        <w:widowControl/>
        <w:spacing w:line="360" w:lineRule="auto"/>
        <w:jc w:val="center"/>
        <w:rPr>
          <w:rFonts w:hint="eastAsia" w:ascii="宋体" w:hAnsi="宋体" w:eastAsia="宋体" w:cs="宋体"/>
          <w:color w:val="auto"/>
          <w:kern w:val="0"/>
          <w:sz w:val="84"/>
          <w:szCs w:val="20"/>
        </w:rPr>
      </w:pPr>
      <w:r>
        <w:rPr>
          <w:rFonts w:hint="eastAsia" w:ascii="宋体" w:hAnsi="宋体" w:eastAsia="宋体" w:cs="宋体"/>
          <w:color w:val="auto"/>
          <w:kern w:val="0"/>
          <w:sz w:val="84"/>
          <w:szCs w:val="20"/>
        </w:rPr>
        <w:t xml:space="preserve">投  标  文 </w:t>
      </w:r>
      <w:r>
        <w:rPr>
          <w:rFonts w:hint="eastAsia" w:ascii="宋体" w:hAnsi="宋体" w:eastAsia="宋体" w:cs="宋体"/>
          <w:color w:val="auto"/>
          <w:kern w:val="0"/>
          <w:sz w:val="84"/>
          <w:szCs w:val="20"/>
          <w:lang w:val="en-US" w:eastAsia="zh-CN"/>
        </w:rPr>
        <w:t xml:space="preserve"> </w:t>
      </w:r>
      <w:r>
        <w:rPr>
          <w:rFonts w:hint="eastAsia" w:ascii="宋体" w:hAnsi="宋体" w:eastAsia="宋体" w:cs="宋体"/>
          <w:color w:val="auto"/>
          <w:kern w:val="0"/>
          <w:sz w:val="84"/>
          <w:szCs w:val="20"/>
        </w:rPr>
        <w:t>件</w:t>
      </w:r>
    </w:p>
    <w:p w14:paraId="0A10ECEE">
      <w:pPr>
        <w:widowControl/>
        <w:spacing w:line="360" w:lineRule="auto"/>
        <w:ind w:left="980"/>
        <w:jc w:val="center"/>
        <w:rPr>
          <w:rFonts w:hint="eastAsia" w:ascii="仿宋_GB2312" w:hAnsi="仿宋_GB2312" w:eastAsia="仿宋_GB2312" w:cs="仿宋_GB2312"/>
          <w:color w:val="auto"/>
          <w:kern w:val="0"/>
          <w:sz w:val="36"/>
          <w:szCs w:val="36"/>
        </w:rPr>
      </w:pPr>
      <w:r>
        <w:rPr>
          <w:rFonts w:hint="eastAsia" w:ascii="仿宋_GB2312" w:hAnsi="仿宋_GB2312" w:eastAsia="仿宋_GB2312" w:cs="仿宋_GB2312"/>
          <w:color w:val="auto"/>
          <w:kern w:val="0"/>
          <w:sz w:val="36"/>
          <w:szCs w:val="36"/>
        </w:rPr>
        <w:t xml:space="preserve"> </w:t>
      </w:r>
    </w:p>
    <w:p w14:paraId="3833FCA4">
      <w:pPr>
        <w:widowControl/>
        <w:spacing w:line="360" w:lineRule="auto"/>
        <w:ind w:left="980"/>
        <w:jc w:val="left"/>
        <w:rPr>
          <w:rFonts w:hint="eastAsia" w:ascii="仿宋_GB2312" w:hAnsi="仿宋_GB2312" w:eastAsia="仿宋_GB2312" w:cs="仿宋_GB2312"/>
          <w:color w:val="auto"/>
          <w:kern w:val="0"/>
          <w:szCs w:val="20"/>
        </w:rPr>
      </w:pPr>
    </w:p>
    <w:p w14:paraId="72EEBDDD">
      <w:pPr>
        <w:widowControl/>
        <w:spacing w:line="360" w:lineRule="auto"/>
        <w:ind w:left="980"/>
        <w:jc w:val="left"/>
        <w:rPr>
          <w:rFonts w:hint="eastAsia" w:ascii="仿宋_GB2312" w:hAnsi="仿宋_GB2312" w:eastAsia="仿宋_GB2312" w:cs="仿宋_GB2312"/>
          <w:color w:val="auto"/>
          <w:kern w:val="0"/>
          <w:szCs w:val="20"/>
        </w:rPr>
      </w:pPr>
    </w:p>
    <w:p w14:paraId="6C0B2A22">
      <w:pPr>
        <w:widowControl/>
        <w:spacing w:line="360" w:lineRule="auto"/>
        <w:ind w:left="980"/>
        <w:jc w:val="left"/>
        <w:rPr>
          <w:rFonts w:hint="eastAsia" w:ascii="仿宋_GB2312" w:hAnsi="仿宋_GB2312" w:eastAsia="仿宋_GB2312" w:cs="仿宋_GB2312"/>
          <w:color w:val="auto"/>
          <w:kern w:val="0"/>
          <w:szCs w:val="20"/>
        </w:rPr>
      </w:pPr>
    </w:p>
    <w:p w14:paraId="05FCBE5C">
      <w:pPr>
        <w:widowControl/>
        <w:spacing w:line="360" w:lineRule="auto"/>
        <w:ind w:left="980"/>
        <w:jc w:val="left"/>
        <w:rPr>
          <w:rFonts w:hint="eastAsia" w:ascii="仿宋_GB2312" w:hAnsi="仿宋_GB2312" w:eastAsia="仿宋_GB2312" w:cs="仿宋_GB2312"/>
          <w:color w:val="auto"/>
          <w:kern w:val="0"/>
          <w:szCs w:val="20"/>
        </w:rPr>
      </w:pPr>
    </w:p>
    <w:p w14:paraId="6489AC39">
      <w:pPr>
        <w:widowControl/>
        <w:spacing w:line="360" w:lineRule="auto"/>
        <w:ind w:left="980"/>
        <w:jc w:val="left"/>
        <w:rPr>
          <w:rFonts w:hint="eastAsia" w:ascii="仿宋_GB2312" w:hAnsi="仿宋_GB2312" w:eastAsia="仿宋_GB2312" w:cs="仿宋_GB2312"/>
          <w:color w:val="auto"/>
          <w:kern w:val="0"/>
          <w:szCs w:val="20"/>
        </w:rPr>
      </w:pPr>
    </w:p>
    <w:p w14:paraId="68A805D4">
      <w:pPr>
        <w:widowControl/>
        <w:spacing w:line="360" w:lineRule="auto"/>
        <w:ind w:firstLine="1200" w:firstLineChars="4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lang w:val="en-US" w:eastAsia="zh-CN"/>
        </w:rPr>
        <w:t>项目</w:t>
      </w:r>
      <w:r>
        <w:rPr>
          <w:rFonts w:hint="eastAsia" w:ascii="仿宋_GB2312" w:hAnsi="仿宋_GB2312" w:eastAsia="仿宋_GB2312" w:cs="仿宋_GB2312"/>
          <w:color w:val="auto"/>
          <w:kern w:val="0"/>
          <w:sz w:val="30"/>
          <w:szCs w:val="20"/>
        </w:rPr>
        <w:t>编号：</w:t>
      </w:r>
      <w:r>
        <w:rPr>
          <w:rFonts w:hint="eastAsia" w:ascii="仿宋_GB2312" w:hAnsi="仿宋_GB2312" w:eastAsia="仿宋_GB2312" w:cs="仿宋_GB2312"/>
          <w:color w:val="auto"/>
          <w:kern w:val="0"/>
          <w:sz w:val="30"/>
          <w:szCs w:val="20"/>
          <w:u w:val="single"/>
        </w:rPr>
        <w:t xml:space="preserve">                       </w:t>
      </w:r>
    </w:p>
    <w:p w14:paraId="34EC9493">
      <w:pPr>
        <w:widowControl/>
        <w:spacing w:line="360" w:lineRule="auto"/>
        <w:ind w:firstLine="1200" w:firstLineChars="400"/>
        <w:jc w:val="left"/>
        <w:rPr>
          <w:rFonts w:hint="eastAsia" w:ascii="仿宋_GB2312" w:hAnsi="仿宋_GB2312" w:eastAsia="仿宋_GB2312" w:cs="仿宋_GB2312"/>
          <w:color w:val="auto"/>
          <w:kern w:val="0"/>
          <w:sz w:val="30"/>
          <w:szCs w:val="20"/>
          <w:u w:val="single"/>
        </w:rPr>
      </w:pPr>
      <w:r>
        <w:rPr>
          <w:rFonts w:hint="eastAsia" w:ascii="仿宋_GB2312" w:hAnsi="仿宋_GB2312" w:eastAsia="仿宋_GB2312" w:cs="仿宋_GB2312"/>
          <w:color w:val="auto"/>
          <w:kern w:val="0"/>
          <w:sz w:val="30"/>
          <w:szCs w:val="20"/>
        </w:rPr>
        <w:t>项目名称：</w:t>
      </w:r>
      <w:r>
        <w:rPr>
          <w:rFonts w:hint="eastAsia" w:ascii="仿宋_GB2312" w:hAnsi="仿宋_GB2312" w:eastAsia="仿宋_GB2312" w:cs="仿宋_GB2312"/>
          <w:color w:val="auto"/>
          <w:kern w:val="0"/>
          <w:sz w:val="30"/>
          <w:szCs w:val="20"/>
          <w:u w:val="single"/>
        </w:rPr>
        <w:t xml:space="preserve">                       </w:t>
      </w:r>
    </w:p>
    <w:p w14:paraId="4F166555">
      <w:pPr>
        <w:widowControl/>
        <w:spacing w:line="360" w:lineRule="auto"/>
        <w:ind w:firstLine="1200" w:firstLineChars="4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rPr>
        <w:t>投标文件内容：</w:t>
      </w:r>
      <w:r>
        <w:rPr>
          <w:rFonts w:hint="eastAsia" w:ascii="仿宋_GB2312" w:hAnsi="仿宋_GB2312" w:eastAsia="仿宋_GB2312" w:cs="仿宋_GB2312"/>
          <w:color w:val="auto"/>
          <w:kern w:val="0"/>
          <w:sz w:val="30"/>
          <w:szCs w:val="20"/>
          <w:u w:val="single"/>
        </w:rPr>
        <w:t xml:space="preserve">     商务部分      </w:t>
      </w:r>
    </w:p>
    <w:p w14:paraId="07E497CF">
      <w:pPr>
        <w:widowControl/>
        <w:spacing w:line="360" w:lineRule="auto"/>
        <w:ind w:firstLine="1200" w:firstLineChars="4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rPr>
        <w:t>采购人：</w:t>
      </w:r>
      <w:r>
        <w:rPr>
          <w:rFonts w:hint="eastAsia" w:ascii="仿宋_GB2312" w:hAnsi="仿宋_GB2312" w:eastAsia="仿宋_GB2312" w:cs="仿宋_GB2312"/>
          <w:color w:val="auto"/>
          <w:kern w:val="0"/>
          <w:sz w:val="30"/>
          <w:szCs w:val="20"/>
          <w:u w:val="single"/>
        </w:rPr>
        <w:t xml:space="preserve">  </w:t>
      </w:r>
      <w:r>
        <w:rPr>
          <w:rFonts w:hint="eastAsia" w:ascii="仿宋_GB2312" w:hAnsi="仿宋_GB2312" w:eastAsia="仿宋_GB2312" w:cs="仿宋_GB2312"/>
          <w:color w:val="auto"/>
          <w:kern w:val="0"/>
          <w:sz w:val="30"/>
          <w:szCs w:val="20"/>
          <w:u w:val="single"/>
          <w:lang w:eastAsia="zh-CN"/>
        </w:rPr>
        <w:t xml:space="preserve">                       </w:t>
      </w:r>
    </w:p>
    <w:p w14:paraId="6361B1E7">
      <w:pPr>
        <w:widowControl/>
        <w:spacing w:line="360" w:lineRule="auto"/>
        <w:ind w:firstLine="1200" w:firstLineChars="400"/>
        <w:jc w:val="left"/>
        <w:rPr>
          <w:rFonts w:hint="eastAsia" w:ascii="仿宋_GB2312" w:hAnsi="仿宋_GB2312" w:eastAsia="仿宋_GB2312" w:cs="仿宋_GB2312"/>
          <w:color w:val="auto"/>
          <w:kern w:val="0"/>
          <w:sz w:val="30"/>
          <w:szCs w:val="20"/>
          <w:u w:val="single"/>
        </w:rPr>
      </w:pPr>
      <w:r>
        <w:rPr>
          <w:rFonts w:hint="eastAsia" w:ascii="仿宋_GB2312" w:hAnsi="仿宋_GB2312" w:eastAsia="仿宋_GB2312" w:cs="仿宋_GB2312"/>
          <w:color w:val="auto"/>
          <w:kern w:val="0"/>
          <w:sz w:val="30"/>
          <w:szCs w:val="20"/>
        </w:rPr>
        <w:t>投标人：</w:t>
      </w:r>
      <w:r>
        <w:rPr>
          <w:rFonts w:hint="eastAsia" w:ascii="仿宋_GB2312" w:hAnsi="仿宋_GB2312" w:eastAsia="仿宋_GB2312" w:cs="仿宋_GB2312"/>
          <w:color w:val="auto"/>
          <w:kern w:val="0"/>
          <w:sz w:val="30"/>
          <w:szCs w:val="20"/>
          <w:u w:val="single"/>
        </w:rPr>
        <w:t xml:space="preserve">       （盖公司法人公章）</w:t>
      </w:r>
    </w:p>
    <w:p w14:paraId="7632B504">
      <w:pPr>
        <w:widowControl/>
        <w:spacing w:line="360" w:lineRule="auto"/>
        <w:ind w:firstLine="1200" w:firstLineChars="4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rPr>
        <w:t>日  期：</w:t>
      </w:r>
      <w:r>
        <w:rPr>
          <w:rFonts w:hint="eastAsia" w:ascii="仿宋_GB2312" w:hAnsi="仿宋_GB2312" w:eastAsia="仿宋_GB2312" w:cs="仿宋_GB2312"/>
          <w:color w:val="auto"/>
          <w:kern w:val="0"/>
          <w:sz w:val="30"/>
          <w:szCs w:val="20"/>
          <w:u w:val="single"/>
        </w:rPr>
        <w:t xml:space="preserve">          年     月    日</w:t>
      </w:r>
    </w:p>
    <w:p w14:paraId="68BB2DDC">
      <w:pPr>
        <w:widowControl/>
        <w:spacing w:line="360" w:lineRule="auto"/>
        <w:ind w:firstLine="2100" w:firstLineChars="700"/>
        <w:jc w:val="left"/>
        <w:rPr>
          <w:rFonts w:hint="eastAsia" w:ascii="仿宋_GB2312" w:hAnsi="仿宋_GB2312" w:eastAsia="仿宋_GB2312" w:cs="仿宋_GB2312"/>
          <w:color w:val="auto"/>
          <w:kern w:val="0"/>
          <w:sz w:val="30"/>
          <w:szCs w:val="20"/>
        </w:rPr>
      </w:pPr>
    </w:p>
    <w:p w14:paraId="75DDA7A8">
      <w:pPr>
        <w:rPr>
          <w:rFonts w:hint="eastAsia" w:ascii="仿宋" w:hAnsi="仿宋" w:eastAsia="仿宋" w:cs="仿宋"/>
          <w:color w:val="auto"/>
          <w:sz w:val="24"/>
          <w:szCs w:val="24"/>
          <w:highlight w:val="none"/>
        </w:rPr>
      </w:pPr>
    </w:p>
    <w:p w14:paraId="5B4B8AB0">
      <w:pPr>
        <w:pStyle w:val="2"/>
        <w:rPr>
          <w:rFonts w:hint="eastAsia"/>
        </w:rPr>
      </w:pPr>
    </w:p>
    <w:p w14:paraId="4EE33F07">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21E1B7CB">
      <w:pPr>
        <w:pStyle w:val="43"/>
        <w:bidi w:val="0"/>
        <w:ind w:left="0" w:leftChars="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 xml:space="preserve">一   </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函</w:t>
      </w:r>
    </w:p>
    <w:p w14:paraId="5D5E6BFA">
      <w:pPr>
        <w:bidi w:val="0"/>
        <w:ind w:firstLine="3360" w:firstLineChars="1600"/>
        <w:rPr>
          <w:rFonts w:hint="eastAsia" w:ascii="仿宋" w:hAnsi="仿宋" w:eastAsia="仿宋" w:cs="仿宋"/>
          <w:color w:val="auto"/>
          <w:highlight w:val="none"/>
        </w:rPr>
      </w:pPr>
    </w:p>
    <w:p w14:paraId="388ED97F">
      <w:pPr>
        <w:jc w:val="center"/>
        <w:rPr>
          <w:rFonts w:eastAsia="华文中宋"/>
          <w:color w:val="000000"/>
          <w:sz w:val="44"/>
          <w:szCs w:val="44"/>
        </w:rPr>
      </w:pPr>
      <w:r>
        <w:rPr>
          <w:rFonts w:hint="eastAsia" w:eastAsia="华文中宋"/>
          <w:color w:val="000000"/>
          <w:sz w:val="30"/>
          <w:szCs w:val="30"/>
        </w:rPr>
        <w:t>报价函</w:t>
      </w:r>
    </w:p>
    <w:p w14:paraId="692345FA">
      <w:pPr>
        <w:ind w:firstLine="560"/>
        <w:jc w:val="center"/>
        <w:rPr>
          <w:rFonts w:eastAsia="仿宋_GB2312"/>
          <w:color w:val="000000"/>
          <w:sz w:val="32"/>
          <w:szCs w:val="32"/>
        </w:rPr>
      </w:pPr>
    </w:p>
    <w:p w14:paraId="001EF88F">
      <w:pPr>
        <w:rPr>
          <w:rFonts w:eastAsia="仿宋_GB2312"/>
          <w:color w:val="0000FF"/>
          <w:sz w:val="28"/>
          <w:szCs w:val="28"/>
        </w:rPr>
      </w:pPr>
      <w:r>
        <w:rPr>
          <w:rFonts w:hint="eastAsia" w:ascii="仿宋" w:hAnsi="仿宋" w:eastAsia="仿宋" w:cs="仿宋"/>
          <w:color w:val="auto"/>
          <w:sz w:val="24"/>
          <w:szCs w:val="24"/>
          <w:highlight w:val="none"/>
          <w:u w:val="single"/>
          <w:lang w:val="en-US" w:eastAsia="zh-CN"/>
        </w:rPr>
        <w:t>东莞市城市工程建设集团有限公司</w:t>
      </w:r>
      <w:r>
        <w:rPr>
          <w:rFonts w:hint="eastAsia" w:eastAsia="仿宋_GB2312"/>
          <w:color w:val="auto"/>
          <w:sz w:val="28"/>
          <w:szCs w:val="28"/>
          <w:u w:val="single"/>
        </w:rPr>
        <w:t>（采购人）</w:t>
      </w:r>
      <w:r>
        <w:rPr>
          <w:rFonts w:hint="eastAsia" w:eastAsia="仿宋_GB2312"/>
          <w:color w:val="auto"/>
          <w:sz w:val="28"/>
          <w:szCs w:val="28"/>
        </w:rPr>
        <w:t>：</w:t>
      </w:r>
    </w:p>
    <w:p w14:paraId="354EAA84">
      <w:pPr>
        <w:ind w:firstLine="560" w:firstLineChars="200"/>
        <w:rPr>
          <w:rFonts w:eastAsia="仿宋_GB2312"/>
          <w:color w:val="000000"/>
          <w:sz w:val="28"/>
          <w:szCs w:val="28"/>
        </w:rPr>
      </w:pPr>
      <w:r>
        <w:rPr>
          <w:rFonts w:hint="eastAsia" w:eastAsia="仿宋_GB2312"/>
          <w:color w:val="000000"/>
          <w:sz w:val="28"/>
          <w:szCs w:val="28"/>
        </w:rPr>
        <w:t>针对贵司</w:t>
      </w:r>
      <w:r>
        <w:rPr>
          <w:rFonts w:eastAsia="仿宋_GB2312"/>
          <w:color w:val="000000"/>
          <w:sz w:val="28"/>
          <w:szCs w:val="28"/>
          <w:u w:val="single"/>
        </w:rPr>
        <w:t xml:space="preserve">               </w:t>
      </w:r>
      <w:r>
        <w:rPr>
          <w:rFonts w:hint="eastAsia" w:eastAsia="仿宋_GB2312"/>
          <w:color w:val="000000"/>
          <w:sz w:val="28"/>
          <w:szCs w:val="28"/>
        </w:rPr>
        <w:t>项目，我司愿意以含税价合计人民币</w:t>
      </w:r>
      <w:r>
        <w:rPr>
          <w:rFonts w:eastAsia="仿宋_GB2312"/>
          <w:color w:val="000000"/>
          <w:sz w:val="28"/>
          <w:szCs w:val="28"/>
          <w:u w:val="single"/>
        </w:rPr>
        <w:t>xxxx</w:t>
      </w:r>
      <w:r>
        <w:rPr>
          <w:rFonts w:hint="eastAsia" w:eastAsia="仿宋_GB2312"/>
          <w:color w:val="000000"/>
          <w:sz w:val="28"/>
          <w:szCs w:val="28"/>
          <w:u w:val="single"/>
        </w:rPr>
        <w:t>元（大写），</w:t>
      </w:r>
      <w:r>
        <w:rPr>
          <w:rFonts w:eastAsia="仿宋_GB2312"/>
          <w:color w:val="000000"/>
          <w:sz w:val="28"/>
          <w:szCs w:val="28"/>
          <w:u w:val="single"/>
        </w:rPr>
        <w:t>¥xxx.00</w:t>
      </w:r>
      <w:r>
        <w:rPr>
          <w:rFonts w:hint="eastAsia" w:eastAsia="仿宋_GB2312"/>
          <w:color w:val="000000"/>
          <w:sz w:val="28"/>
          <w:szCs w:val="28"/>
          <w:u w:val="single"/>
        </w:rPr>
        <w:t>（小写）</w:t>
      </w:r>
      <w:r>
        <w:rPr>
          <w:rFonts w:hint="eastAsia" w:eastAsia="仿宋_GB2312"/>
          <w:color w:val="000000"/>
          <w:sz w:val="28"/>
          <w:szCs w:val="28"/>
        </w:rPr>
        <w:t>承接此项目。</w:t>
      </w:r>
    </w:p>
    <w:p w14:paraId="4BEBC48A">
      <w:pPr>
        <w:rPr>
          <w:rFonts w:eastAsia="仿宋_GB2312"/>
          <w:color w:val="000000"/>
          <w:sz w:val="28"/>
          <w:szCs w:val="28"/>
        </w:rPr>
      </w:pPr>
    </w:p>
    <w:p w14:paraId="3CA90B59">
      <w:pPr>
        <w:rPr>
          <w:rFonts w:eastAsia="仿宋_GB2312"/>
          <w:color w:val="000000"/>
          <w:sz w:val="28"/>
          <w:szCs w:val="28"/>
        </w:rPr>
      </w:pPr>
    </w:p>
    <w:p w14:paraId="47642236">
      <w:pPr>
        <w:rPr>
          <w:rFonts w:eastAsia="仿宋_GB2312"/>
          <w:color w:val="000000"/>
          <w:sz w:val="28"/>
          <w:szCs w:val="28"/>
        </w:rPr>
      </w:pPr>
    </w:p>
    <w:p w14:paraId="0DF80C49">
      <w:pPr>
        <w:jc w:val="left"/>
        <w:rPr>
          <w:rFonts w:eastAsia="仿宋_GB2312"/>
          <w:color w:val="000000"/>
          <w:sz w:val="28"/>
          <w:szCs w:val="28"/>
        </w:rPr>
      </w:pPr>
      <w:r>
        <w:rPr>
          <w:rFonts w:hint="eastAsia" w:eastAsia="仿宋_GB2312"/>
          <w:color w:val="000000"/>
          <w:sz w:val="28"/>
          <w:szCs w:val="28"/>
        </w:rPr>
        <w:t>响应人名称（加盖公章）：</w:t>
      </w:r>
    </w:p>
    <w:p w14:paraId="3F090170">
      <w:pPr>
        <w:jc w:val="left"/>
        <w:rPr>
          <w:rFonts w:eastAsia="仿宋_GB2312"/>
          <w:color w:val="000000"/>
          <w:sz w:val="28"/>
          <w:szCs w:val="28"/>
        </w:rPr>
      </w:pPr>
      <w:r>
        <w:rPr>
          <w:rFonts w:hint="eastAsia" w:eastAsia="仿宋_GB2312"/>
          <w:color w:val="000000"/>
          <w:sz w:val="28"/>
          <w:szCs w:val="28"/>
        </w:rPr>
        <w:t>法定代表人（签名或盖章）：</w:t>
      </w:r>
    </w:p>
    <w:p w14:paraId="1688E6C5">
      <w:pPr>
        <w:jc w:val="left"/>
        <w:rPr>
          <w:rFonts w:eastAsia="仿宋_GB2312"/>
          <w:color w:val="000000"/>
          <w:sz w:val="28"/>
          <w:szCs w:val="28"/>
        </w:rPr>
      </w:pPr>
      <w:r>
        <w:rPr>
          <w:rFonts w:hint="eastAsia" w:eastAsia="仿宋_GB2312"/>
          <w:color w:val="000000"/>
          <w:sz w:val="28"/>
          <w:szCs w:val="28"/>
        </w:rPr>
        <w:t>联系人：</w:t>
      </w:r>
    </w:p>
    <w:p w14:paraId="2F539E01">
      <w:pPr>
        <w:jc w:val="left"/>
        <w:rPr>
          <w:rFonts w:eastAsia="仿宋_GB2312"/>
          <w:color w:val="000000"/>
          <w:sz w:val="28"/>
          <w:szCs w:val="28"/>
        </w:rPr>
      </w:pPr>
      <w:r>
        <w:rPr>
          <w:rFonts w:hint="eastAsia" w:eastAsia="仿宋_GB2312"/>
          <w:color w:val="000000"/>
          <w:sz w:val="28"/>
          <w:szCs w:val="28"/>
        </w:rPr>
        <w:t>联系电话：</w:t>
      </w:r>
    </w:p>
    <w:p w14:paraId="408AF84E">
      <w:pPr>
        <w:jc w:val="left"/>
        <w:rPr>
          <w:rFonts w:eastAsia="仿宋_GB2312"/>
          <w:color w:val="000000"/>
          <w:sz w:val="28"/>
          <w:szCs w:val="28"/>
        </w:rPr>
      </w:pPr>
      <w:r>
        <w:rPr>
          <w:rFonts w:hint="eastAsia" w:eastAsia="仿宋_GB2312"/>
          <w:color w:val="000000"/>
          <w:sz w:val="28"/>
          <w:szCs w:val="28"/>
        </w:rPr>
        <w:t>日期：</w:t>
      </w:r>
    </w:p>
    <w:p w14:paraId="6951C2B7">
      <w:pPr>
        <w:pStyle w:val="2"/>
        <w:rPr>
          <w:rFonts w:hint="eastAsia" w:ascii="仿宋" w:hAnsi="仿宋" w:eastAsia="仿宋" w:cs="仿宋"/>
          <w:color w:val="auto"/>
          <w:highlight w:val="none"/>
        </w:rPr>
      </w:pPr>
    </w:p>
    <w:p w14:paraId="430176B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683F0E3">
      <w:pPr>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 xml:space="preserve">二  </w:t>
      </w:r>
      <w:r>
        <w:rPr>
          <w:rFonts w:hint="eastAsia" w:ascii="仿宋" w:hAnsi="仿宋" w:eastAsia="仿宋" w:cs="仿宋"/>
          <w:b/>
          <w:bCs/>
          <w:color w:val="auto"/>
          <w:sz w:val="24"/>
          <w:szCs w:val="24"/>
          <w:highlight w:val="none"/>
        </w:rPr>
        <w:t>法人证明</w:t>
      </w:r>
    </w:p>
    <w:p w14:paraId="0B551EB5">
      <w:pPr>
        <w:pStyle w:val="42"/>
        <w:ind w:firstLine="0" w:firstLineChars="0"/>
        <w:jc w:val="left"/>
        <w:rPr>
          <w:rFonts w:ascii="仿宋" w:hAnsi="仿宋" w:eastAsia="仿宋" w:cs="仿宋"/>
          <w:color w:val="auto"/>
          <w:sz w:val="24"/>
          <w:szCs w:val="24"/>
          <w:highlight w:val="none"/>
        </w:rPr>
      </w:pPr>
    </w:p>
    <w:p w14:paraId="7722F7D1">
      <w:pPr>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法定代表人身份证明书及法定代表人身份证复印件</w:t>
      </w:r>
    </w:p>
    <w:p w14:paraId="16516DB0">
      <w:pPr>
        <w:rPr>
          <w:rFonts w:ascii="仿宋" w:hAnsi="仿宋" w:eastAsia="仿宋" w:cs="仿宋"/>
          <w:color w:val="auto"/>
          <w:sz w:val="24"/>
          <w:szCs w:val="24"/>
          <w:highlight w:val="none"/>
        </w:rPr>
      </w:pPr>
    </w:p>
    <w:p w14:paraId="11C42FE9">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w:t>
      </w:r>
      <w:r>
        <w:rPr>
          <w:rFonts w:hint="eastAsia" w:ascii="仿宋" w:hAnsi="仿宋" w:eastAsia="仿宋" w:cs="仿宋"/>
          <w:color w:val="auto"/>
          <w:sz w:val="24"/>
          <w:szCs w:val="24"/>
          <w:highlight w:val="none"/>
        </w:rPr>
        <w:t>：</w:t>
      </w:r>
    </w:p>
    <w:p w14:paraId="6BD44AFC">
      <w:pPr>
        <w:pStyle w:val="41"/>
        <w:ind w:firstLine="494"/>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本证明书声明：注册于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（国家名称）的</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（响应人名称）在下面签字的</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（法定代表人姓名、职务）为本公司的合法代表人（</w:t>
      </w:r>
      <w:r>
        <w:rPr>
          <w:rFonts w:hint="eastAsia" w:ascii="仿宋" w:hAnsi="仿宋" w:eastAsia="仿宋" w:cs="仿宋"/>
          <w:b/>
          <w:bCs/>
          <w:color w:val="auto"/>
          <w:sz w:val="24"/>
          <w:szCs w:val="24"/>
          <w:highlight w:val="none"/>
        </w:rPr>
        <w:t>须附法定代表人身份证复印件</w:t>
      </w:r>
      <w:r>
        <w:rPr>
          <w:rFonts w:hint="eastAsia" w:ascii="仿宋" w:hAnsi="仿宋" w:eastAsia="仿宋" w:cs="仿宋"/>
          <w:color w:val="auto"/>
          <w:sz w:val="24"/>
          <w:szCs w:val="24"/>
          <w:highlight w:val="none"/>
        </w:rPr>
        <w:t>）。</w:t>
      </w:r>
    </w:p>
    <w:p w14:paraId="23C816E8">
      <w:pPr>
        <w:spacing w:line="600" w:lineRule="exact"/>
        <w:ind w:firstLine="360" w:firstLineChars="1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5521115">
      <w:pPr>
        <w:spacing w:line="600" w:lineRule="exact"/>
        <w:rPr>
          <w:rFonts w:ascii="仿宋" w:hAnsi="仿宋" w:eastAsia="仿宋" w:cs="仿宋"/>
          <w:color w:val="auto"/>
          <w:sz w:val="24"/>
          <w:szCs w:val="24"/>
          <w:highlight w:val="none"/>
        </w:rPr>
      </w:pPr>
    </w:p>
    <w:p w14:paraId="65B75697">
      <w:pPr>
        <w:spacing w:line="600" w:lineRule="exact"/>
        <w:rPr>
          <w:rFonts w:ascii="仿宋" w:hAnsi="仿宋" w:eastAsia="仿宋" w:cs="仿宋"/>
          <w:color w:val="auto"/>
          <w:sz w:val="24"/>
          <w:szCs w:val="24"/>
          <w:highlight w:val="none"/>
        </w:rPr>
      </w:pPr>
    </w:p>
    <w:p w14:paraId="5361327C">
      <w:pPr>
        <w:spacing w:line="600" w:lineRule="exact"/>
        <w:rPr>
          <w:rFonts w:ascii="仿宋" w:hAnsi="仿宋" w:eastAsia="仿宋" w:cs="仿宋"/>
          <w:color w:val="auto"/>
          <w:sz w:val="24"/>
          <w:szCs w:val="24"/>
          <w:highlight w:val="none"/>
        </w:rPr>
      </w:pPr>
    </w:p>
    <w:p w14:paraId="7716DED4">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响应人名称（加盖公章）：</w:t>
      </w:r>
    </w:p>
    <w:p w14:paraId="2A492C3C">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响应人地址：</w:t>
      </w:r>
    </w:p>
    <w:p w14:paraId="49FE9073">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法定代表人（签名或盖私章）：</w:t>
      </w:r>
    </w:p>
    <w:p w14:paraId="4620F7F0">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p w14:paraId="3F2F1D53">
      <w:pPr>
        <w:rPr>
          <w:rFonts w:ascii="仿宋" w:hAnsi="仿宋" w:eastAsia="仿宋" w:cs="仿宋"/>
          <w:color w:val="auto"/>
          <w:sz w:val="24"/>
          <w:szCs w:val="24"/>
          <w:highlight w:val="none"/>
        </w:rPr>
      </w:pPr>
    </w:p>
    <w:p w14:paraId="0D27D6A9">
      <w:pPr>
        <w:widowControl/>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2" w:name="_Toc384752807"/>
    </w:p>
    <w:p w14:paraId="38A59A4E">
      <w:pPr>
        <w:pStyle w:val="42"/>
        <w:ind w:firstLine="0" w:firstLineChars="0"/>
        <w:jc w:val="left"/>
        <w:outlineLvl w:val="1"/>
        <w:rPr>
          <w:rFonts w:ascii="仿宋" w:hAnsi="仿宋" w:eastAsia="仿宋" w:cs="仿宋"/>
          <w:color w:val="auto"/>
          <w:sz w:val="24"/>
          <w:szCs w:val="24"/>
          <w:highlight w:val="none"/>
        </w:rPr>
      </w:pPr>
      <w:bookmarkStart w:id="3" w:name="_Hlk40704362"/>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法人授权书</w:t>
      </w:r>
    </w:p>
    <w:p w14:paraId="419DD797">
      <w:pPr>
        <w:widowControl/>
        <w:jc w:val="center"/>
        <w:rPr>
          <w:rFonts w:ascii="仿宋" w:hAnsi="仿宋" w:eastAsia="仿宋" w:cs="仿宋"/>
          <w:b/>
          <w:color w:val="auto"/>
          <w:sz w:val="24"/>
          <w:szCs w:val="24"/>
          <w:highlight w:val="none"/>
        </w:rPr>
      </w:pPr>
    </w:p>
    <w:p w14:paraId="49F2DD3E">
      <w:pPr>
        <w:widowControl/>
        <w:jc w:val="center"/>
        <w:rPr>
          <w:rFonts w:ascii="仿宋" w:hAnsi="仿宋" w:eastAsia="仿宋" w:cs="仿宋"/>
          <w:color w:val="auto"/>
          <w:sz w:val="24"/>
          <w:szCs w:val="24"/>
          <w:highlight w:val="none"/>
        </w:rPr>
      </w:pPr>
      <w:r>
        <w:rPr>
          <w:rFonts w:hint="eastAsia" w:ascii="仿宋" w:hAnsi="仿宋" w:eastAsia="仿宋" w:cs="仿宋"/>
          <w:b/>
          <w:color w:val="auto"/>
          <w:sz w:val="24"/>
          <w:szCs w:val="24"/>
          <w:highlight w:val="none"/>
        </w:rPr>
        <w:t>授权委托书</w:t>
      </w:r>
      <w:bookmarkEnd w:id="2"/>
    </w:p>
    <w:p w14:paraId="18629F70">
      <w:pPr>
        <w:pStyle w:val="41"/>
        <w:ind w:firstLine="0" w:firstLineChars="0"/>
        <w:rPr>
          <w:rFonts w:ascii="仿宋" w:hAnsi="仿宋" w:eastAsia="仿宋" w:cs="仿宋"/>
          <w:color w:val="auto"/>
          <w:sz w:val="24"/>
          <w:szCs w:val="24"/>
          <w:highlight w:val="none"/>
        </w:rPr>
      </w:pPr>
    </w:p>
    <w:p w14:paraId="0E37F661">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w:t>
      </w:r>
      <w:r>
        <w:rPr>
          <w:rFonts w:hint="eastAsia" w:ascii="仿宋" w:hAnsi="仿宋" w:eastAsia="仿宋" w:cs="仿宋"/>
          <w:color w:val="auto"/>
          <w:sz w:val="24"/>
          <w:szCs w:val="24"/>
          <w:highlight w:val="none"/>
        </w:rPr>
        <w:t>：</w:t>
      </w:r>
    </w:p>
    <w:p w14:paraId="5E7763AE">
      <w:pPr>
        <w:pStyle w:val="41"/>
        <w:ind w:firstLine="494"/>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本委托书声明：在下面签字的</w:t>
      </w:r>
      <w:r>
        <w:rPr>
          <w:rFonts w:hint="eastAsia" w:ascii="仿宋" w:hAnsi="仿宋" w:eastAsia="仿宋" w:cs="仿宋"/>
          <w:color w:val="auto"/>
          <w:sz w:val="24"/>
          <w:szCs w:val="24"/>
          <w:highlight w:val="none"/>
          <w:u w:val="single"/>
        </w:rPr>
        <w:t>（填写法定代表人姓名、职务）</w:t>
      </w:r>
      <w:r>
        <w:rPr>
          <w:rFonts w:hint="eastAsia" w:ascii="仿宋" w:hAnsi="仿宋" w:eastAsia="仿宋" w:cs="仿宋"/>
          <w:color w:val="auto"/>
          <w:sz w:val="24"/>
          <w:szCs w:val="24"/>
          <w:highlight w:val="none"/>
        </w:rPr>
        <w:t>代表</w:t>
      </w:r>
      <w:r>
        <w:rPr>
          <w:rFonts w:hint="eastAsia" w:ascii="仿宋" w:hAnsi="仿宋" w:eastAsia="仿宋" w:cs="仿宋"/>
          <w:color w:val="auto"/>
          <w:sz w:val="24"/>
          <w:szCs w:val="24"/>
          <w:highlight w:val="none"/>
          <w:u w:val="single"/>
        </w:rPr>
        <w:t>（填写响应人名称）</w:t>
      </w:r>
      <w:r>
        <w:rPr>
          <w:rFonts w:hint="eastAsia" w:ascii="仿宋" w:hAnsi="仿宋" w:eastAsia="仿宋" w:cs="仿宋"/>
          <w:color w:val="auto"/>
          <w:sz w:val="24"/>
          <w:szCs w:val="24"/>
          <w:highlight w:val="none"/>
        </w:rPr>
        <w:t>委托在下面签字的</w:t>
      </w:r>
      <w:r>
        <w:rPr>
          <w:rFonts w:hint="eastAsia" w:ascii="仿宋" w:hAnsi="仿宋" w:eastAsia="仿宋" w:cs="仿宋"/>
          <w:color w:val="auto"/>
          <w:sz w:val="24"/>
          <w:szCs w:val="24"/>
          <w:highlight w:val="none"/>
          <w:u w:val="single"/>
        </w:rPr>
        <w:t>（填写受委托人的姓名、职务）</w:t>
      </w:r>
      <w:r>
        <w:rPr>
          <w:rFonts w:hint="eastAsia" w:ascii="仿宋" w:hAnsi="仿宋" w:eastAsia="仿宋" w:cs="仿宋"/>
          <w:color w:val="auto"/>
          <w:sz w:val="24"/>
          <w:szCs w:val="24"/>
          <w:highlight w:val="none"/>
        </w:rPr>
        <w:t>为本公司的合法代表人，就</w:t>
      </w:r>
      <w:r>
        <w:rPr>
          <w:rFonts w:hint="eastAsia" w:ascii="仿宋" w:hAnsi="仿宋" w:eastAsia="仿宋" w:cs="仿宋"/>
          <w:color w:val="auto"/>
          <w:sz w:val="24"/>
          <w:szCs w:val="24"/>
          <w:highlight w:val="none"/>
          <w:u w:val="single"/>
        </w:rPr>
        <w:t>（填写项目名称）</w:t>
      </w:r>
      <w:r>
        <w:rPr>
          <w:rFonts w:hint="eastAsia" w:ascii="仿宋" w:hAnsi="仿宋" w:eastAsia="仿宋" w:cs="仿宋"/>
          <w:color w:val="auto"/>
          <w:sz w:val="24"/>
          <w:szCs w:val="24"/>
          <w:highlight w:val="none"/>
        </w:rPr>
        <w:t>项目等相关服务的谈判和合同的执行，以我方的名义处理一切与之有关的事宜（</w:t>
      </w:r>
      <w:r>
        <w:rPr>
          <w:rFonts w:hint="eastAsia" w:ascii="仿宋" w:hAnsi="仿宋" w:eastAsia="仿宋" w:cs="仿宋"/>
          <w:b/>
          <w:bCs/>
          <w:color w:val="auto"/>
          <w:sz w:val="24"/>
          <w:szCs w:val="24"/>
          <w:highlight w:val="none"/>
        </w:rPr>
        <w:t>相关身份证复印件须附后</w:t>
      </w:r>
      <w:r>
        <w:rPr>
          <w:rFonts w:hint="eastAsia" w:ascii="仿宋" w:hAnsi="仿宋" w:eastAsia="仿宋" w:cs="仿宋"/>
          <w:color w:val="auto"/>
          <w:sz w:val="24"/>
          <w:szCs w:val="24"/>
          <w:highlight w:val="none"/>
        </w:rPr>
        <w:t>）。</w:t>
      </w:r>
    </w:p>
    <w:p w14:paraId="678245AD">
      <w:pPr>
        <w:pStyle w:val="41"/>
        <w:ind w:firstLine="494"/>
        <w:rPr>
          <w:rFonts w:ascii="仿宋" w:hAnsi="仿宋" w:eastAsia="仿宋" w:cs="仿宋"/>
          <w:color w:val="auto"/>
          <w:sz w:val="24"/>
          <w:szCs w:val="24"/>
          <w:highlight w:val="none"/>
        </w:rPr>
      </w:pPr>
    </w:p>
    <w:p w14:paraId="1788C575">
      <w:pPr>
        <w:pStyle w:val="41"/>
        <w:ind w:firstLine="494"/>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本委托书于    年   月   日至   年    月   日签字生效，有效期</w:t>
      </w:r>
      <w:r>
        <w:rPr>
          <w:rFonts w:hint="eastAsia" w:ascii="仿宋" w:hAnsi="仿宋" w:eastAsia="仿宋" w:cs="仿宋"/>
          <w:color w:val="auto"/>
          <w:sz w:val="24"/>
          <w:szCs w:val="24"/>
          <w:highlight w:val="none"/>
          <w:lang w:val="en-US" w:eastAsia="zh-CN"/>
        </w:rPr>
        <w:t>不小于</w:t>
      </w:r>
      <w:r>
        <w:rPr>
          <w:rFonts w:hint="eastAsia" w:ascii="仿宋" w:hAnsi="仿宋" w:eastAsia="仿宋" w:cs="仿宋"/>
          <w:color w:val="auto"/>
          <w:sz w:val="24"/>
          <w:szCs w:val="24"/>
          <w:highlight w:val="none"/>
        </w:rPr>
        <w:t>询价有效期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90天</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，特此声明。</w:t>
      </w:r>
    </w:p>
    <w:p w14:paraId="2FBDDEAC">
      <w:pPr>
        <w:pStyle w:val="41"/>
        <w:ind w:firstLine="494"/>
        <w:rPr>
          <w:rFonts w:ascii="仿宋" w:hAnsi="仿宋" w:eastAsia="仿宋" w:cs="仿宋"/>
          <w:color w:val="auto"/>
          <w:sz w:val="24"/>
          <w:szCs w:val="24"/>
          <w:highlight w:val="none"/>
        </w:rPr>
      </w:pPr>
    </w:p>
    <w:p w14:paraId="6BC7CC19">
      <w:pPr>
        <w:pStyle w:val="41"/>
        <w:ind w:right="160"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响应人名称（加盖公章）：</w:t>
      </w:r>
    </w:p>
    <w:p w14:paraId="448D0242">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响应人地址：</w:t>
      </w:r>
    </w:p>
    <w:p w14:paraId="46DFB863">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3B72D201">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p w14:paraId="52671528">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受委托人（签字或盖章）：</w:t>
      </w:r>
    </w:p>
    <w:p w14:paraId="72D1074F">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p w14:paraId="051E4E4E">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bookmarkEnd w:id="3"/>
    <w:p w14:paraId="3C379FE8">
      <w:pPr>
        <w:pStyle w:val="42"/>
        <w:ind w:firstLine="0" w:firstLineChars="0"/>
        <w:jc w:val="left"/>
        <w:outlineLvl w:val="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承诺函</w:t>
      </w:r>
    </w:p>
    <w:p w14:paraId="5D91C6E5">
      <w:pPr>
        <w:pStyle w:val="42"/>
        <w:ind w:firstLine="0" w:firstLineChars="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承诺函</w:t>
      </w:r>
    </w:p>
    <w:p w14:paraId="617C5214">
      <w:pPr>
        <w:pStyle w:val="42"/>
        <w:ind w:firstLine="0" w:firstLineChars="0"/>
        <w:jc w:val="center"/>
        <w:rPr>
          <w:rFonts w:ascii="仿宋" w:hAnsi="仿宋" w:eastAsia="仿宋" w:cs="仿宋"/>
          <w:b/>
          <w:color w:val="auto"/>
          <w:sz w:val="24"/>
          <w:szCs w:val="24"/>
          <w:highlight w:val="none"/>
        </w:rPr>
      </w:pPr>
    </w:p>
    <w:p w14:paraId="61F44C4C">
      <w:pPr>
        <w:pStyle w:val="42"/>
        <w:ind w:firstLine="0" w:firstLineChars="0"/>
        <w:jc w:val="center"/>
        <w:rPr>
          <w:rFonts w:ascii="仿宋" w:hAnsi="仿宋" w:eastAsia="仿宋" w:cs="仿宋"/>
          <w:b/>
          <w:color w:val="auto"/>
          <w:sz w:val="24"/>
          <w:szCs w:val="24"/>
          <w:highlight w:val="none"/>
        </w:rPr>
      </w:pPr>
    </w:p>
    <w:p w14:paraId="4E8561F4">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东莞市城市工程建设集团有限公司（采购人）</w:t>
      </w:r>
      <w:r>
        <w:rPr>
          <w:rFonts w:hint="eastAsia" w:ascii="仿宋" w:hAnsi="仿宋" w:eastAsia="仿宋" w:cs="仿宋"/>
          <w:color w:val="auto"/>
          <w:sz w:val="24"/>
          <w:szCs w:val="24"/>
          <w:highlight w:val="none"/>
        </w:rPr>
        <w:t>：</w:t>
      </w:r>
    </w:p>
    <w:p w14:paraId="003ABD7D">
      <w:pPr>
        <w:pStyle w:val="41"/>
        <w:ind w:firstLine="640" w:firstLineChars="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我司就参加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项目投标工作，作出以下承诺：</w:t>
      </w:r>
    </w:p>
    <w:p w14:paraId="0D04C51A">
      <w:pPr>
        <w:pStyle w:val="41"/>
        <w:ind w:firstLine="494"/>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我公司已充分了解采购项目情况，本次报价完全响应询价文件的要求，我公司所提供的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服务内容</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rPr>
        <w:t>等于或优于采购人需求，并承诺如不满足采购人需求，采购人有权取消合同并进行违约处罚。</w:t>
      </w:r>
    </w:p>
    <w:p w14:paraId="1E44D2AB">
      <w:pPr>
        <w:jc w:val="left"/>
        <w:rPr>
          <w:rFonts w:ascii="仿宋" w:hAnsi="仿宋" w:eastAsia="仿宋" w:cs="仿宋"/>
          <w:color w:val="auto"/>
          <w:sz w:val="24"/>
          <w:szCs w:val="24"/>
          <w:highlight w:val="none"/>
        </w:rPr>
      </w:pPr>
    </w:p>
    <w:p w14:paraId="5B2EA6DD">
      <w:pPr>
        <w:jc w:val="left"/>
        <w:rPr>
          <w:rFonts w:ascii="仿宋" w:hAnsi="仿宋" w:eastAsia="仿宋" w:cs="仿宋"/>
          <w:color w:val="auto"/>
          <w:sz w:val="24"/>
          <w:szCs w:val="24"/>
          <w:highlight w:val="none"/>
        </w:rPr>
      </w:pPr>
    </w:p>
    <w:p w14:paraId="6ADE6AF1">
      <w:pPr>
        <w:jc w:val="left"/>
        <w:rPr>
          <w:rFonts w:ascii="仿宋" w:hAnsi="仿宋" w:eastAsia="仿宋" w:cs="仿宋"/>
          <w:color w:val="auto"/>
          <w:sz w:val="24"/>
          <w:szCs w:val="24"/>
          <w:highlight w:val="none"/>
        </w:rPr>
      </w:pPr>
    </w:p>
    <w:p w14:paraId="2CE11B8D">
      <w:pPr>
        <w:pStyle w:val="41"/>
        <w:ind w:right="160"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响应人名称（加盖公章）：</w:t>
      </w:r>
    </w:p>
    <w:p w14:paraId="25036A4B">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响应人地址：</w:t>
      </w:r>
    </w:p>
    <w:p w14:paraId="1424B5CB">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4AB5DDA9">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p w14:paraId="1195EB19">
      <w:pPr>
        <w:pStyle w:val="41"/>
        <w:ind w:firstLine="0" w:firstLineChars="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p w14:paraId="6B4532DE">
      <w:pPr>
        <w:pStyle w:val="41"/>
        <w:ind w:firstLine="0" w:firstLineChars="0"/>
        <w:jc w:val="left"/>
        <w:rPr>
          <w:rFonts w:ascii="仿宋" w:hAnsi="仿宋" w:eastAsia="仿宋" w:cs="仿宋"/>
          <w:color w:val="auto"/>
          <w:sz w:val="24"/>
          <w:szCs w:val="24"/>
          <w:highlight w:val="none"/>
        </w:rPr>
      </w:pPr>
    </w:p>
    <w:p w14:paraId="136E67B3">
      <w:pPr>
        <w:pStyle w:val="41"/>
        <w:ind w:firstLine="0" w:firstLineChars="0"/>
        <w:jc w:val="left"/>
        <w:rPr>
          <w:rFonts w:ascii="仿宋" w:hAnsi="仿宋" w:eastAsia="仿宋" w:cs="仿宋"/>
          <w:color w:val="auto"/>
          <w:sz w:val="24"/>
          <w:szCs w:val="24"/>
          <w:highlight w:val="none"/>
        </w:rPr>
      </w:pPr>
    </w:p>
    <w:p w14:paraId="03C75DCD">
      <w:pPr>
        <w:pStyle w:val="41"/>
        <w:ind w:firstLine="0" w:firstLineChars="0"/>
        <w:jc w:val="left"/>
        <w:rPr>
          <w:rFonts w:ascii="仿宋" w:hAnsi="仿宋" w:eastAsia="仿宋" w:cs="仿宋"/>
          <w:color w:val="auto"/>
          <w:sz w:val="24"/>
          <w:szCs w:val="24"/>
          <w:highlight w:val="none"/>
        </w:rPr>
      </w:pPr>
    </w:p>
    <w:p w14:paraId="01E4DC65">
      <w:pPr>
        <w:pStyle w:val="41"/>
        <w:ind w:firstLine="0" w:firstLineChars="0"/>
        <w:jc w:val="left"/>
        <w:rPr>
          <w:rFonts w:ascii="仿宋" w:hAnsi="仿宋" w:eastAsia="仿宋" w:cs="仿宋"/>
          <w:color w:val="auto"/>
          <w:sz w:val="24"/>
          <w:szCs w:val="24"/>
          <w:highlight w:val="none"/>
        </w:rPr>
      </w:pPr>
    </w:p>
    <w:p w14:paraId="16A51125">
      <w:pPr>
        <w:pStyle w:val="41"/>
        <w:ind w:firstLine="0" w:firstLineChars="0"/>
        <w:jc w:val="left"/>
        <w:rPr>
          <w:rFonts w:ascii="仿宋" w:hAnsi="仿宋" w:eastAsia="仿宋" w:cs="仿宋"/>
          <w:color w:val="auto"/>
          <w:sz w:val="24"/>
          <w:szCs w:val="24"/>
          <w:highlight w:val="none"/>
        </w:rPr>
      </w:pPr>
    </w:p>
    <w:p w14:paraId="352AA824">
      <w:pPr>
        <w:pStyle w:val="41"/>
        <w:ind w:firstLine="0" w:firstLineChars="0"/>
        <w:jc w:val="left"/>
        <w:rPr>
          <w:rFonts w:ascii="仿宋" w:hAnsi="仿宋" w:eastAsia="仿宋" w:cs="仿宋"/>
          <w:color w:val="auto"/>
          <w:sz w:val="24"/>
          <w:szCs w:val="24"/>
          <w:highlight w:val="none"/>
        </w:rPr>
      </w:pPr>
    </w:p>
    <w:p w14:paraId="3ECE965A">
      <w:pPr>
        <w:pStyle w:val="41"/>
        <w:ind w:firstLine="0" w:firstLineChars="0"/>
        <w:jc w:val="left"/>
        <w:rPr>
          <w:rFonts w:ascii="仿宋" w:hAnsi="仿宋" w:eastAsia="仿宋" w:cs="仿宋"/>
          <w:color w:val="auto"/>
          <w:sz w:val="24"/>
          <w:szCs w:val="24"/>
          <w:highlight w:val="none"/>
        </w:rPr>
      </w:pPr>
    </w:p>
    <w:p w14:paraId="7F8A1E02">
      <w:pPr>
        <w:pStyle w:val="41"/>
        <w:ind w:firstLine="0" w:firstLineChars="0"/>
        <w:jc w:val="left"/>
        <w:rPr>
          <w:rFonts w:ascii="仿宋" w:hAnsi="仿宋" w:eastAsia="仿宋" w:cs="仿宋"/>
          <w:color w:val="auto"/>
          <w:sz w:val="24"/>
          <w:szCs w:val="24"/>
          <w:highlight w:val="none"/>
        </w:rPr>
      </w:pPr>
    </w:p>
    <w:p w14:paraId="078E1E92">
      <w:pPr>
        <w:pStyle w:val="41"/>
        <w:ind w:firstLine="0" w:firstLineChars="0"/>
        <w:jc w:val="left"/>
        <w:rPr>
          <w:rFonts w:ascii="仿宋" w:hAnsi="仿宋" w:eastAsia="仿宋" w:cs="仿宋"/>
          <w:color w:val="auto"/>
          <w:sz w:val="24"/>
          <w:szCs w:val="24"/>
          <w:highlight w:val="none"/>
        </w:rPr>
      </w:pPr>
    </w:p>
    <w:p w14:paraId="29631166">
      <w:pPr>
        <w:pStyle w:val="41"/>
        <w:ind w:firstLine="0" w:firstLineChars="0"/>
        <w:jc w:val="left"/>
        <w:rPr>
          <w:rFonts w:ascii="仿宋" w:hAnsi="仿宋" w:eastAsia="仿宋" w:cs="仿宋"/>
          <w:color w:val="auto"/>
          <w:sz w:val="24"/>
          <w:szCs w:val="24"/>
          <w:highlight w:val="none"/>
        </w:rPr>
      </w:pPr>
    </w:p>
    <w:p w14:paraId="2D85C688">
      <w:pPr>
        <w:pStyle w:val="41"/>
        <w:ind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附件五 </w:t>
      </w:r>
      <w:r>
        <w:rPr>
          <w:rFonts w:hint="eastAsia" w:ascii="仿宋" w:hAnsi="仿宋" w:eastAsia="仿宋" w:cs="仿宋"/>
          <w:color w:val="auto"/>
          <w:sz w:val="24"/>
          <w:szCs w:val="24"/>
          <w:highlight w:val="none"/>
        </w:rPr>
        <w:t>响应人认为需要提供的其他资料</w:t>
      </w:r>
    </w:p>
    <w:p w14:paraId="7C1294BD">
      <w:pPr>
        <w:pStyle w:val="41"/>
        <w:ind w:firstLine="0" w:firstLineChars="0"/>
        <w:jc w:val="left"/>
        <w:rPr>
          <w:rFonts w:hint="eastAsia" w:ascii="仿宋" w:hAnsi="仿宋" w:eastAsia="仿宋" w:cs="仿宋"/>
          <w:color w:val="auto"/>
          <w:sz w:val="24"/>
          <w:szCs w:val="24"/>
          <w:highlight w:val="none"/>
        </w:rPr>
      </w:pPr>
    </w:p>
    <w:p w14:paraId="67C5E36A">
      <w:pPr>
        <w:numPr>
          <w:ilvl w:val="0"/>
          <w:numId w:val="0"/>
        </w:numPr>
        <w:snapToGrid w:val="0"/>
        <w:spacing w:line="360" w:lineRule="auto"/>
        <w:ind w:firstLine="720" w:firstLineChars="300"/>
        <w:rPr>
          <w:rFonts w:hint="eastAsia" w:ascii="仿宋_GB2312" w:hAnsi="仿宋_GB2312" w:eastAsia="仿宋_GB2312" w:cs="仿宋_GB2312"/>
          <w:color w:val="auto"/>
          <w:sz w:val="24"/>
          <w:szCs w:val="28"/>
        </w:rPr>
      </w:pPr>
      <w:r>
        <w:rPr>
          <w:rFonts w:hint="eastAsia" w:ascii="仿宋_GB2312" w:hAnsi="仿宋_GB2312" w:eastAsia="仿宋_GB2312" w:cs="仿宋_GB2312"/>
          <w:color w:val="auto"/>
          <w:sz w:val="24"/>
          <w:szCs w:val="28"/>
          <w:lang w:val="en-US" w:eastAsia="zh-CN"/>
        </w:rPr>
        <w:t>1、</w:t>
      </w:r>
      <w:r>
        <w:rPr>
          <w:rFonts w:hint="eastAsia" w:ascii="仿宋_GB2312" w:hAnsi="仿宋_GB2312" w:eastAsia="仿宋_GB2312" w:cs="仿宋_GB2312"/>
          <w:color w:val="auto"/>
          <w:sz w:val="24"/>
          <w:szCs w:val="28"/>
        </w:rPr>
        <w:t>投标人的</w:t>
      </w:r>
      <w:r>
        <w:rPr>
          <w:rFonts w:hint="eastAsia" w:ascii="仿宋_GB2312" w:hAnsi="仿宋_GB2312" w:eastAsia="仿宋_GB2312" w:cs="仿宋_GB2312"/>
          <w:color w:val="auto"/>
          <w:sz w:val="24"/>
          <w:szCs w:val="28"/>
          <w:lang w:val="en-US" w:eastAsia="zh-CN"/>
        </w:rPr>
        <w:t>营业执照</w:t>
      </w:r>
    </w:p>
    <w:p w14:paraId="0BDEEF70">
      <w:pPr>
        <w:pStyle w:val="41"/>
        <w:ind w:firstLine="732" w:firstLineChars="305"/>
        <w:jc w:val="left"/>
        <w:rPr>
          <w:rFonts w:ascii="仿宋" w:hAnsi="仿宋" w:eastAsia="仿宋" w:cs="仿宋"/>
          <w:color w:val="auto"/>
          <w:sz w:val="24"/>
          <w:szCs w:val="24"/>
          <w:highlight w:val="none"/>
        </w:rPr>
      </w:pPr>
      <w:r>
        <w:rPr>
          <w:rFonts w:hint="eastAsia" w:hAnsi="仿宋_GB2312" w:cs="仿宋_GB2312"/>
          <w:color w:val="auto"/>
          <w:sz w:val="24"/>
          <w:szCs w:val="28"/>
          <w:lang w:val="en-US" w:eastAsia="zh-CN"/>
        </w:rPr>
        <w:t>2、</w:t>
      </w:r>
      <w:r>
        <w:rPr>
          <w:rFonts w:hint="eastAsia" w:ascii="仿宋_GB2312" w:hAnsi="仿宋_GB2312" w:eastAsia="仿宋_GB2312" w:cs="仿宋_GB2312"/>
          <w:color w:val="auto"/>
          <w:sz w:val="24"/>
          <w:szCs w:val="28"/>
          <w:lang w:val="en-US" w:eastAsia="zh-CN"/>
        </w:rPr>
        <w:t>电子税务局纳税人信息截图</w:t>
      </w:r>
    </w:p>
    <w:p w14:paraId="192FED43">
      <w:pPr>
        <w:rPr>
          <w:rFonts w:ascii="仿宋" w:hAnsi="仿宋" w:eastAsia="仿宋" w:cs="仿宋"/>
          <w:color w:val="auto"/>
          <w:sz w:val="24"/>
          <w:szCs w:val="24"/>
          <w:highlight w:val="none"/>
        </w:rPr>
      </w:pPr>
    </w:p>
    <w:p w14:paraId="2E6199DA">
      <w:pPr>
        <w:widowControl/>
        <w:jc w:val="center"/>
        <w:rPr>
          <w:rFonts w:ascii="仿宋" w:hAnsi="仿宋" w:eastAsia="仿宋" w:cs="仿宋"/>
          <w:color w:val="auto"/>
          <w:sz w:val="24"/>
          <w:szCs w:val="24"/>
          <w:highlight w:val="none"/>
        </w:rPr>
      </w:pPr>
      <w:r>
        <w:drawing>
          <wp:inline distT="0" distB="0" distL="114300" distR="114300">
            <wp:extent cx="5637530" cy="2323465"/>
            <wp:effectExtent l="0" t="0" r="127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637530" cy="2323465"/>
                    </a:xfrm>
                    <a:prstGeom prst="rect">
                      <a:avLst/>
                    </a:prstGeom>
                    <a:noFill/>
                    <a:ln>
                      <a:noFill/>
                    </a:ln>
                  </pic:spPr>
                </pic:pic>
              </a:graphicData>
            </a:graphic>
          </wp:inline>
        </w:drawing>
      </w:r>
    </w:p>
    <w:p w14:paraId="1CDAA7BF">
      <w:pPr>
        <w:widowControl/>
        <w:jc w:val="left"/>
        <w:rPr>
          <w:rFonts w:ascii="仿宋" w:hAnsi="仿宋" w:eastAsia="仿宋" w:cs="仿宋"/>
          <w:color w:val="auto"/>
          <w:sz w:val="24"/>
          <w:szCs w:val="24"/>
          <w:highlight w:val="none"/>
        </w:rPr>
      </w:pPr>
    </w:p>
    <w:p w14:paraId="16A06473">
      <w:pPr>
        <w:pStyle w:val="42"/>
        <w:ind w:firstLine="0" w:firstLineChars="0"/>
        <w:jc w:val="left"/>
        <w:outlineLvl w:val="1"/>
        <w:rPr>
          <w:rFonts w:ascii="仿宋" w:hAnsi="仿宋" w:eastAsia="仿宋" w:cs="仿宋"/>
          <w:color w:val="auto"/>
          <w:sz w:val="24"/>
          <w:szCs w:val="24"/>
          <w:highlight w:val="none"/>
        </w:rPr>
      </w:pPr>
      <w:bookmarkStart w:id="4" w:name="_Hlk40704598"/>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附件六</w:t>
      </w:r>
      <w:r>
        <w:rPr>
          <w:rFonts w:hint="eastAsia" w:ascii="仿宋" w:hAnsi="仿宋" w:eastAsia="仿宋" w:cs="仿宋"/>
          <w:color w:val="auto"/>
          <w:sz w:val="24"/>
          <w:szCs w:val="24"/>
          <w:highlight w:val="none"/>
          <w:lang w:val="en-US" w:eastAsia="zh-CN"/>
        </w:rPr>
        <w:t xml:space="preserve"> 采购</w:t>
      </w:r>
      <w:r>
        <w:rPr>
          <w:rFonts w:hint="eastAsia" w:ascii="仿宋" w:hAnsi="仿宋" w:eastAsia="仿宋" w:cs="仿宋"/>
          <w:color w:val="auto"/>
          <w:sz w:val="24"/>
          <w:szCs w:val="24"/>
          <w:highlight w:val="none"/>
        </w:rPr>
        <w:t>需求书</w:t>
      </w:r>
    </w:p>
    <w:p w14:paraId="53906F88">
      <w:pPr>
        <w:pStyle w:val="42"/>
        <w:ind w:firstLine="0" w:firstLineChars="0"/>
        <w:jc w:val="left"/>
        <w:outlineLvl w:val="1"/>
        <w:rPr>
          <w:rFonts w:ascii="仿宋" w:hAnsi="仿宋" w:eastAsia="仿宋" w:cs="仿宋"/>
          <w:color w:val="auto"/>
          <w:sz w:val="24"/>
          <w:szCs w:val="24"/>
          <w:highlight w:val="none"/>
        </w:rPr>
      </w:pPr>
    </w:p>
    <w:p w14:paraId="19A5BC2E">
      <w:pPr>
        <w:pStyle w:val="42"/>
        <w:ind w:firstLine="0" w:firstLineChars="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采购</w:t>
      </w:r>
      <w:r>
        <w:rPr>
          <w:rFonts w:hint="eastAsia" w:ascii="仿宋" w:hAnsi="仿宋" w:eastAsia="仿宋" w:cs="仿宋"/>
          <w:b/>
          <w:color w:val="auto"/>
          <w:sz w:val="24"/>
          <w:szCs w:val="24"/>
          <w:highlight w:val="none"/>
        </w:rPr>
        <w:t>需求书</w:t>
      </w:r>
    </w:p>
    <w:bookmarkEnd w:id="1"/>
    <w:bookmarkEnd w:id="4"/>
    <w:p w14:paraId="3A9354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一、资质换证简述</w:t>
      </w:r>
    </w:p>
    <w:p w14:paraId="6C614F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我公司通过对安徽金屯路桥建设有限公司（以简称金屯路桥）的合并，于2025年3月12日取得公路工程施工总承包壹级资质证书（以简称公路资质），有效期至2026年3月12日。根据《建筑业企业资质标准》、“建市规【2023】3号文”文件的规定（</w:t>
      </w:r>
      <w:r>
        <w:rPr>
          <w:rFonts w:hint="eastAsia" w:ascii="仿宋_GB2312" w:hAnsi="仿宋_GB2312" w:eastAsia="仿宋_GB2312" w:cs="仿宋_GB2312"/>
          <w:b/>
          <w:bCs/>
          <w:sz w:val="24"/>
          <w:szCs w:val="24"/>
          <w:lang w:val="en-US" w:eastAsia="zh-CN"/>
        </w:rPr>
        <w:t>企业因发生合并申请资质核定的，需对企业资产、人员及相关法律关系等情况进行考核</w:t>
      </w:r>
      <w:r>
        <w:rPr>
          <w:rFonts w:hint="eastAsia" w:ascii="仿宋_GB2312" w:hAnsi="仿宋_GB2312" w:eastAsia="仿宋_GB2312" w:cs="仿宋_GB2312"/>
          <w:sz w:val="24"/>
          <w:szCs w:val="24"/>
          <w:lang w:val="en-US" w:eastAsia="zh-CN"/>
        </w:rPr>
        <w:t>），结合住房和城乡建设部官网资质申报常见问题答复内容（</w:t>
      </w:r>
      <w:r>
        <w:rPr>
          <w:rFonts w:hint="default" w:ascii="仿宋_GB2312" w:hAnsi="仿宋_GB2312" w:eastAsia="仿宋_GB2312" w:cs="仿宋_GB2312"/>
          <w:b/>
          <w:bCs/>
          <w:sz w:val="24"/>
          <w:szCs w:val="24"/>
          <w:lang w:val="en-US" w:eastAsia="zh-CN"/>
        </w:rPr>
        <w:t>被吸收企业在申报时未完成工商注销登记的，合并后企业可取得有效期1年的资质证书。有效期内完成工商注销登记的，可按规定申请换发有效期5年的资质证书；逾期未注销或未提出换证申请的，其资证书作废</w:t>
      </w:r>
      <w:r>
        <w:rPr>
          <w:rFonts w:hint="eastAsia" w:ascii="仿宋_GB2312" w:hAnsi="仿宋_GB2312" w:eastAsia="仿宋_GB2312" w:cs="仿宋_GB2312"/>
          <w:sz w:val="24"/>
          <w:szCs w:val="24"/>
          <w:lang w:val="en-US" w:eastAsia="zh-CN"/>
        </w:rPr>
        <w:t>），我公司必需在公路资质有效期内换成具有5年有效期的资质证书。</w:t>
      </w:r>
    </w:p>
    <w:p w14:paraId="47F7CD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二、采购咨询服务单位的必须性</w:t>
      </w:r>
    </w:p>
    <w:p w14:paraId="3015B0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1、时间的紧迫性</w:t>
      </w:r>
    </w:p>
    <w:p w14:paraId="740198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金屯路桥营业执照公示与注销，至少需要1个月的时间；三库系统资料申报、审核1个月左右；省厅签发核准通过通知书，资料报住建部审核，时间2个月左右。按这个流程计算，我们公路资质要到2026年2月底才能换证成功，时间非常短，公路资质换证时间非常紧迫。</w:t>
      </w:r>
    </w:p>
    <w:p w14:paraId="6C0648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2、咨询服务单位的专业性</w:t>
      </w:r>
    </w:p>
    <w:p w14:paraId="69C1BE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（1）可提供全面的资质标准以及各种有关资质政策的解读，精准评估公司现有条件符合性，如企业资信、技术负责人、注册人员、技术装备等方面，并可提出针对性的改进建议；</w:t>
      </w:r>
    </w:p>
    <w:p w14:paraId="7CE37A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（2）提供详细的申报材料清单，并指导我公司收集、整理所有基础证明材料；网上系统资料上传、数据的填报更具有专业性，可避免细微误差等带来的退件问题；</w:t>
      </w:r>
    </w:p>
    <w:p w14:paraId="76A833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（3）在与相关主管部门的沟通、协调工作，及时跟进申报进度，反馈审批意见上具有灵活性、及时性、多渠道。</w:t>
      </w:r>
    </w:p>
    <w:p w14:paraId="358DD0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（4）应急问题的处理，如建造师一年内转注册次数、设备指标、申报被驳回等，负责分析原因，制定补救措施，提供解决方案，并指导完成补充材料及重新申报。</w:t>
      </w:r>
    </w:p>
    <w:p w14:paraId="055FB5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综上所述，为确保我公司公路资质换证工作</w:t>
      </w:r>
      <w:r>
        <w:rPr>
          <w:rFonts w:hint="default" w:ascii="仿宋_GB2312" w:hAnsi="仿宋_GB2312" w:eastAsia="仿宋_GB2312" w:cs="仿宋_GB2312"/>
          <w:sz w:val="24"/>
          <w:szCs w:val="24"/>
          <w:lang w:val="en-US" w:eastAsia="zh-CN"/>
        </w:rPr>
        <w:t>高效、合规、一次性成功，避免因政策理解偏差、材料准备不齐或流程不熟导致换证失败</w:t>
      </w:r>
      <w:r>
        <w:rPr>
          <w:rFonts w:hint="eastAsia" w:ascii="仿宋_GB2312" w:hAnsi="仿宋_GB2312" w:eastAsia="仿宋_GB2312" w:cs="仿宋_GB2312"/>
          <w:sz w:val="24"/>
          <w:szCs w:val="24"/>
          <w:lang w:val="en-US" w:eastAsia="zh-CN"/>
        </w:rPr>
        <w:t>，有必要采购公路资质换证咨询服务单位。</w:t>
      </w:r>
    </w:p>
    <w:p w14:paraId="179B0C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三、服务要求</w:t>
      </w:r>
    </w:p>
    <w:p w14:paraId="4C2519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1、2026年3月12日前成功取得由主管部门核发的有效期为5年的建筑业企业资质证书。否则采购方不支付任何费用。</w:t>
      </w:r>
    </w:p>
    <w:p w14:paraId="9FD809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2、中标咨询服务单位须提供以下全流程、全托式的专业服务：</w:t>
      </w:r>
    </w:p>
    <w:p w14:paraId="3529EE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（1）方案设计与合规审查：基于我司人员齐全的现状，提供详细的申报材料清单，制定最优申报方案，并对现有全部材料进行合规性预审，确保万无一失。</w:t>
      </w:r>
    </w:p>
    <w:p w14:paraId="31E3DC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（2）材料主导编制： 负责全部申报材料的精细化编制、校对与定稿，确保符合住建部最新标准与隐性要求。</w:t>
      </w:r>
    </w:p>
    <w:p w14:paraId="224D8C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（3）系统申报与全程跟踪： 负责“广东三库一平台”和住建部申报软件的数据填报与维护，并全程跟踪申报进度，及时反馈。</w:t>
      </w:r>
    </w:p>
    <w:p w14:paraId="B6E852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（4）问题协调与响应： 如审批过程中遇到质询或补正要求或陈述，须提供专业解决方案并负责完成所有解释、说明及补正材料的编写与提交。</w:t>
      </w:r>
    </w:p>
    <w:p w14:paraId="73F262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3、咨询服务单位必须对在执行本咨询服务过程中所接触到的我公司一切信息负有严格的保密义务。</w:t>
      </w:r>
    </w:p>
    <w:p w14:paraId="62B13E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四、服务期限</w:t>
      </w:r>
    </w:p>
    <w:p w14:paraId="137B72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合同签订之日起至我公司成功取得由主管部门核发的有效期为5年的建筑业企业资质证书，其中关键节点时间：</w:t>
      </w:r>
    </w:p>
    <w:p w14:paraId="59E208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1、合同签订后10个工作日内：完成全部材料初审与方案确认。</w:t>
      </w:r>
    </w:p>
    <w:p w14:paraId="14B500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2、安徽金屯路桥注销完成后10个工作日内：完成全套申报材料的编制与定稿。</w:t>
      </w:r>
    </w:p>
    <w:p w14:paraId="727CCA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3、2026年2月1日前：完成审批流程，取得住建部资质审查意见的公示，且对我公司的资质审查意见为“同意”。</w:t>
      </w:r>
    </w:p>
    <w:p w14:paraId="5B915C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4、最终完成期限：2026年3月12日前，取得住建部核发的有效期为5年的建筑业企业资质证书。</w:t>
      </w:r>
    </w:p>
    <w:p w14:paraId="3A3C44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五、报价及付款方式</w:t>
      </w:r>
    </w:p>
    <w:p w14:paraId="2D796B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1、报价模式：拟采用服务费用固定总价包干制，包括为完成本需求书所述全部服务内容所需的成本、利润、税金等一切费用。</w:t>
      </w:r>
    </w:p>
    <w:p w14:paraId="55708A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2、支付方式</w:t>
      </w:r>
    </w:p>
    <w:p w14:paraId="281CC4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本次采购咨询服务不设预付款；</w:t>
      </w:r>
    </w:p>
    <w:p w14:paraId="4035FB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我公司成功取得住建部核发的有效期为5年的建筑业企业资质证书之日后10个工作日内，我公司一次性支付合同约定全额服务费用的100%（咨询服务单位在投标报价时，应充分考虑此付款方式下的资金成本与风险）。</w:t>
      </w:r>
    </w:p>
    <w:p w14:paraId="770513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六、资格要求</w:t>
      </w:r>
    </w:p>
    <w:p w14:paraId="3460B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szCs w:val="24"/>
        </w:rPr>
      </w:pPr>
      <w:r>
        <w:rPr>
          <w:rFonts w:hint="eastAsia" w:ascii="仿宋" w:hAnsi="仿宋" w:eastAsia="仿宋"/>
          <w:sz w:val="24"/>
          <w:szCs w:val="24"/>
        </w:rPr>
        <w:t>1、响应人须为在中华人民共和国境内登记注册的具有独立承担民事责任能力的法人或其他组织。【提供《营业执照》复印件（加盖公章）或《事业单位法人证书》复印件（加盖公章）或其他主体证书复印件（加盖公章）】</w:t>
      </w:r>
    </w:p>
    <w:p w14:paraId="64BDE8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、人员要求：响应人拟派项目负责人须具备</w:t>
      </w:r>
      <w:r>
        <w:rPr>
          <w:rFonts w:ascii="仿宋" w:hAnsi="仿宋" w:eastAsia="仿宋"/>
          <w:sz w:val="24"/>
          <w:szCs w:val="24"/>
          <w:u w:val="single"/>
        </w:rPr>
        <w:t xml:space="preserve"> </w:t>
      </w:r>
      <w:r>
        <w:rPr>
          <w:rFonts w:ascii="仿宋" w:hAnsi="仿宋" w:eastAsia="仿宋"/>
          <w:sz w:val="24"/>
          <w:szCs w:val="24"/>
          <w:u w:val="single"/>
          <w:lang w:val="en-US"/>
        </w:rPr>
        <w:t>5年以上住建部资质申报经验，并提供成功案例佐证</w:t>
      </w:r>
      <w:r>
        <w:rPr>
          <w:rFonts w:ascii="仿宋" w:hAnsi="仿宋" w:eastAsia="仿宋"/>
          <w:sz w:val="24"/>
          <w:szCs w:val="24"/>
          <w:u w:val="single"/>
        </w:rPr>
        <w:t xml:space="preserve"> </w:t>
      </w:r>
      <w:r>
        <w:rPr>
          <w:rFonts w:hint="eastAsia" w:ascii="仿宋" w:hAnsi="仿宋" w:eastAsia="仿宋"/>
          <w:sz w:val="24"/>
          <w:szCs w:val="24"/>
        </w:rPr>
        <w:t>。【提供</w:t>
      </w:r>
      <w:r>
        <w:rPr>
          <w:rFonts w:hint="eastAsia" w:ascii="仿宋" w:hAnsi="仿宋" w:eastAsia="仿宋"/>
          <w:sz w:val="24"/>
          <w:szCs w:val="24"/>
          <w:lang w:val="en-US" w:eastAsia="zh-CN"/>
        </w:rPr>
        <w:t>相关证明资料</w:t>
      </w:r>
      <w:r>
        <w:rPr>
          <w:rFonts w:hint="eastAsia" w:ascii="仿宋" w:hAnsi="仿宋" w:eastAsia="仿宋"/>
          <w:sz w:val="24"/>
          <w:szCs w:val="24"/>
        </w:rPr>
        <w:t>复印件（加盖公章）】</w:t>
      </w:r>
    </w:p>
    <w:p w14:paraId="6ECE92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 xml:space="preserve">具有依法缴纳税收和社会保障资金的良好记录。 </w:t>
      </w:r>
    </w:p>
    <w:p w14:paraId="046B98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4、</w:t>
      </w:r>
      <w:r>
        <w:rPr>
          <w:rFonts w:hint="eastAsia" w:ascii="仿宋" w:hAnsi="仿宋" w:eastAsia="仿宋"/>
          <w:sz w:val="24"/>
          <w:szCs w:val="24"/>
        </w:rPr>
        <w:t>参加本次采购活动前三年内，在经营活动中没有重大违法</w:t>
      </w:r>
      <w:r>
        <w:rPr>
          <w:rFonts w:hint="eastAsia" w:ascii="仿宋" w:hAnsi="仿宋" w:eastAsia="仿宋"/>
          <w:sz w:val="24"/>
          <w:szCs w:val="24"/>
          <w:lang w:val="en-US" w:eastAsia="zh-CN"/>
        </w:rPr>
        <w:t>记录</w:t>
      </w:r>
    </w:p>
    <w:p w14:paraId="178E5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color w:val="000000"/>
          <w:sz w:val="24"/>
          <w:szCs w:val="24"/>
        </w:rPr>
      </w:pPr>
      <w:r>
        <w:rPr>
          <w:rFonts w:hint="eastAsia" w:ascii="仿宋" w:hAnsi="仿宋" w:eastAsia="仿宋"/>
          <w:sz w:val="24"/>
          <w:szCs w:val="24"/>
          <w:lang w:val="en-US" w:eastAsia="zh-CN"/>
        </w:rPr>
        <w:t>5、未被列</w:t>
      </w:r>
      <w:r>
        <w:rPr>
          <w:rFonts w:hint="eastAsia" w:eastAsia="仿宋_GB2312"/>
          <w:color w:val="000000"/>
          <w:sz w:val="24"/>
          <w:szCs w:val="24"/>
        </w:rPr>
        <w:t>入东实集团及下属企</w:t>
      </w:r>
      <w:r>
        <w:rPr>
          <w:rFonts w:hint="eastAsia" w:eastAsia="仿宋_GB2312"/>
          <w:color w:val="auto"/>
          <w:sz w:val="24"/>
          <w:szCs w:val="24"/>
        </w:rPr>
        <w:t>业</w:t>
      </w:r>
      <w:r>
        <w:rPr>
          <w:rFonts w:hint="eastAsia" w:ascii="仿宋" w:hAnsi="仿宋" w:eastAsia="仿宋"/>
          <w:color w:val="auto"/>
          <w:sz w:val="24"/>
          <w:szCs w:val="24"/>
          <w:lang w:val="en-US" w:eastAsia="zh-CN"/>
        </w:rPr>
        <w:t>相关</w:t>
      </w:r>
      <w:r>
        <w:rPr>
          <w:rFonts w:hint="eastAsia" w:eastAsia="仿宋_GB2312"/>
          <w:color w:val="auto"/>
          <w:sz w:val="24"/>
          <w:szCs w:val="24"/>
        </w:rPr>
        <w:t>领域黑名单。【以东莞实业投资控股集团</w:t>
      </w:r>
      <w:r>
        <w:rPr>
          <w:rFonts w:hint="default" w:ascii="Times New Roman" w:hAnsi="Times New Roman" w:eastAsia="仿宋_GB2312" w:cs="Times New Roman"/>
          <w:color w:val="auto"/>
          <w:sz w:val="24"/>
          <w:szCs w:val="24"/>
        </w:rPr>
        <w:t>有限公司发文（东实通〔2021〕44号）、（东实通〔2021〕98号）</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（东实通〔2022〕75号）（东实通〔2023〕37号）</w:t>
      </w:r>
      <w:r>
        <w:rPr>
          <w:rFonts w:hint="default" w:ascii="Times New Roman" w:hAnsi="Times New Roman" w:eastAsia="仿宋_GB2312" w:cs="Times New Roman"/>
          <w:color w:val="auto"/>
          <w:sz w:val="24"/>
          <w:szCs w:val="24"/>
        </w:rPr>
        <w:t>为准</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如有最新发文通知，按最新文件执行。</w:t>
      </w:r>
      <w:r>
        <w:rPr>
          <w:rFonts w:hint="default" w:ascii="Times New Roman" w:hAnsi="Times New Roman" w:eastAsia="仿宋_GB2312" w:cs="Times New Roman"/>
          <w:color w:val="auto"/>
          <w:sz w:val="24"/>
          <w:szCs w:val="24"/>
        </w:rPr>
        <w:t>】</w:t>
      </w:r>
    </w:p>
    <w:p w14:paraId="065EB4E3">
      <w:pPr>
        <w:rPr>
          <w:rFonts w:hint="eastAsia"/>
          <w:color w:val="auto"/>
          <w:highlight w:val="none"/>
        </w:rPr>
      </w:pPr>
    </w:p>
    <w:p w14:paraId="53019580">
      <w:pPr>
        <w:pStyle w:val="2"/>
        <w:rPr>
          <w:rFonts w:hint="eastAsia"/>
        </w:rPr>
      </w:pPr>
    </w:p>
    <w:p w14:paraId="16E563A8">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F3F35C5">
      <w:pPr>
        <w:spacing w:before="257"/>
        <w:ind w:right="81"/>
        <w:jc w:val="left"/>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附件七：</w:t>
      </w:r>
      <w:r>
        <w:rPr>
          <w:rFonts w:hint="eastAsia" w:ascii="仿宋" w:hAnsi="仿宋" w:eastAsia="仿宋" w:cs="仿宋"/>
          <w:b/>
          <w:bCs/>
          <w:color w:val="auto"/>
          <w:sz w:val="24"/>
          <w:szCs w:val="24"/>
          <w:highlight w:val="none"/>
        </w:rPr>
        <w:t>合同文本</w:t>
      </w:r>
    </w:p>
    <w:p w14:paraId="2CC022F4">
      <w:pPr>
        <w:bidi w:val="0"/>
        <w:ind w:firstLine="210" w:firstLineChars="1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 </w:t>
      </w:r>
    </w:p>
    <w:p w14:paraId="127B90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sz w:val="36"/>
          <w:szCs w:val="36"/>
          <w:lang w:val="en-US" w:eastAsia="zh-CN"/>
        </w:rPr>
      </w:pPr>
    </w:p>
    <w:p w14:paraId="72FD5026">
      <w:pPr>
        <w:rPr>
          <w:rFonts w:hint="eastAsia" w:ascii="宋体" w:hAnsi="宋体" w:eastAsia="宋体" w:cs="宋体"/>
          <w:b/>
          <w:bCs w:val="0"/>
          <w:color w:val="auto"/>
          <w:sz w:val="36"/>
          <w:szCs w:val="36"/>
          <w:lang w:val="en-US" w:eastAsia="zh-CN"/>
        </w:rPr>
      </w:pPr>
      <w:r>
        <w:rPr>
          <w:rFonts w:hint="eastAsia" w:ascii="宋体" w:hAnsi="宋体" w:eastAsia="宋体" w:cs="宋体"/>
          <w:b/>
          <w:bCs w:val="0"/>
          <w:color w:val="auto"/>
          <w:sz w:val="36"/>
          <w:szCs w:val="36"/>
          <w:lang w:val="en-US" w:eastAsia="zh-CN"/>
        </w:rPr>
        <w:br w:type="page"/>
      </w:r>
    </w:p>
    <w:p w14:paraId="2A42A3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sz w:val="24"/>
          <w:szCs w:val="24"/>
          <w:lang w:bidi="ar"/>
        </w:rPr>
      </w:pPr>
      <w:r>
        <w:rPr>
          <w:rFonts w:hint="eastAsia" w:ascii="宋体" w:hAnsi="宋体" w:eastAsia="宋体" w:cs="宋体"/>
          <w:b w:val="0"/>
          <w:bCs/>
          <w:color w:val="auto"/>
          <w:sz w:val="24"/>
          <w:szCs w:val="24"/>
          <w:lang w:val="en-US" w:eastAsia="zh-CN" w:bidi="ar"/>
        </w:rPr>
        <w:t xml:space="preserve">                              </w:t>
      </w:r>
      <w:r>
        <w:rPr>
          <w:rFonts w:hint="eastAsia" w:ascii="宋体" w:hAnsi="宋体" w:eastAsia="宋体" w:cs="宋体"/>
          <w:b w:val="0"/>
          <w:bCs/>
          <w:color w:val="auto"/>
          <w:sz w:val="24"/>
          <w:szCs w:val="24"/>
          <w:lang w:bidi="ar"/>
        </w:rPr>
        <w:t>合同编号：</w:t>
      </w:r>
    </w:p>
    <w:p w14:paraId="31601C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sz w:val="24"/>
          <w:szCs w:val="24"/>
          <w:lang w:bidi="ar"/>
        </w:rPr>
      </w:pPr>
    </w:p>
    <w:p w14:paraId="719534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sz w:val="24"/>
          <w:szCs w:val="24"/>
          <w:lang w:val="en-US" w:eastAsia="zh-CN" w:bidi="ar"/>
        </w:rPr>
      </w:pPr>
    </w:p>
    <w:p w14:paraId="554148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sz w:val="36"/>
          <w:szCs w:val="36"/>
          <w:lang w:val="en-US" w:eastAsia="zh-CN"/>
        </w:rPr>
      </w:pPr>
      <w:r>
        <w:rPr>
          <w:rFonts w:hint="eastAsia" w:ascii="宋体" w:hAnsi="宋体" w:eastAsia="宋体" w:cs="宋体"/>
          <w:b/>
          <w:bCs w:val="0"/>
          <w:color w:val="auto"/>
          <w:sz w:val="36"/>
          <w:szCs w:val="36"/>
          <w:lang w:val="en-US" w:eastAsia="zh-CN"/>
        </w:rPr>
        <w:t>委托</w:t>
      </w:r>
      <w:r>
        <w:rPr>
          <w:rFonts w:hint="eastAsia" w:ascii="宋体" w:hAnsi="宋体" w:eastAsia="宋体" w:cs="宋体"/>
          <w:b/>
          <w:bCs w:val="0"/>
          <w:color w:val="auto"/>
          <w:sz w:val="36"/>
          <w:szCs w:val="36"/>
        </w:rPr>
        <w:t>代理咨询服务合同</w:t>
      </w:r>
    </w:p>
    <w:p w14:paraId="6F8C32AB">
      <w:pPr>
        <w:keepNext w:val="0"/>
        <w:keepLines w:val="0"/>
        <w:pageBreakBefore w:val="0"/>
        <w:widowControl w:val="0"/>
        <w:tabs>
          <w:tab w:val="center" w:pos="4217"/>
          <w:tab w:val="right" w:pos="8306"/>
        </w:tabs>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sz w:val="24"/>
          <w:szCs w:val="24"/>
          <w:u w:val="single"/>
          <w:lang w:val="en-US" w:eastAsia="zh-CN" w:bidi="ar"/>
        </w:rPr>
      </w:pPr>
      <w:r>
        <w:rPr>
          <w:rFonts w:hint="eastAsia" w:ascii="宋体" w:hAnsi="宋体" w:eastAsia="宋体" w:cs="宋体"/>
          <w:b w:val="0"/>
          <w:bCs/>
          <w:color w:val="auto"/>
          <w:sz w:val="24"/>
          <w:szCs w:val="24"/>
          <w:lang w:eastAsia="zh-CN" w:bidi="ar"/>
        </w:rPr>
        <w:tab/>
      </w:r>
    </w:p>
    <w:p w14:paraId="5670CCD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bCs w:val="0"/>
          <w:color w:val="auto"/>
          <w:sz w:val="24"/>
          <w:u w:val="single"/>
          <w:lang w:val="en-US" w:eastAsia="zh-CN"/>
        </w:rPr>
      </w:pPr>
      <w:r>
        <w:rPr>
          <w:rFonts w:hint="eastAsia" w:ascii="宋体" w:hAnsi="宋体" w:eastAsia="宋体" w:cs="宋体"/>
          <w:b/>
          <w:bCs w:val="0"/>
          <w:color w:val="auto"/>
          <w:sz w:val="24"/>
          <w:u w:val="single"/>
        </w:rPr>
        <w:t>委托方（甲方）：</w:t>
      </w:r>
      <w:r>
        <w:rPr>
          <w:rFonts w:hint="eastAsia" w:ascii="宋体" w:hAnsi="宋体"/>
          <w:b/>
          <w:bCs w:val="0"/>
          <w:sz w:val="28"/>
          <w:u w:val="single"/>
          <w:lang w:eastAsia="zh-CN"/>
        </w:rPr>
        <w:t>东莞市城市工程建设集团有限公司</w:t>
      </w:r>
      <w:r>
        <w:rPr>
          <w:rFonts w:hint="eastAsia" w:ascii="宋体" w:hAnsi="宋体" w:eastAsia="宋体" w:cs="宋体"/>
          <w:b/>
          <w:bCs w:val="0"/>
          <w:color w:val="auto"/>
          <w:sz w:val="24"/>
          <w:u w:val="single"/>
          <w:lang w:val="en-US" w:eastAsia="zh-CN"/>
        </w:rPr>
        <w:t xml:space="preserve"> </w:t>
      </w:r>
      <w:r>
        <w:rPr>
          <w:rFonts w:hint="eastAsia" w:ascii="宋体" w:hAnsi="宋体" w:eastAsia="宋体" w:cs="宋体"/>
          <w:b/>
          <w:bCs w:val="0"/>
          <w:color w:val="auto"/>
          <w:sz w:val="24"/>
          <w:u w:val="single"/>
        </w:rPr>
        <w:t xml:space="preserve"> </w:t>
      </w:r>
      <w:r>
        <w:rPr>
          <w:rFonts w:hint="eastAsia" w:ascii="宋体" w:hAnsi="宋体" w:eastAsia="宋体" w:cs="宋体"/>
          <w:b/>
          <w:bCs w:val="0"/>
          <w:color w:val="auto"/>
          <w:sz w:val="24"/>
          <w:u w:val="single"/>
          <w:lang w:val="en-US" w:eastAsia="zh-CN"/>
        </w:rPr>
        <w:t xml:space="preserve"> </w:t>
      </w:r>
    </w:p>
    <w:p w14:paraId="6929249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b/>
          <w:bCs w:val="0"/>
          <w:color w:val="auto"/>
          <w:sz w:val="24"/>
          <w:u w:val="single"/>
          <w:lang w:val="en-US" w:eastAsia="zh-CN"/>
        </w:rPr>
      </w:pPr>
    </w:p>
    <w:p w14:paraId="0EFE4F0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val="0"/>
          <w:color w:val="auto"/>
          <w:sz w:val="24"/>
          <w:u w:val="single"/>
        </w:rPr>
      </w:pPr>
    </w:p>
    <w:p w14:paraId="4F00BA1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bCs w:val="0"/>
          <w:color w:val="auto"/>
          <w:sz w:val="24"/>
          <w:u w:val="single"/>
          <w:lang w:val="en-US" w:eastAsia="zh-CN"/>
        </w:rPr>
      </w:pPr>
      <w:r>
        <w:rPr>
          <w:rFonts w:hint="eastAsia" w:ascii="宋体" w:hAnsi="宋体" w:eastAsia="宋体" w:cs="宋体"/>
          <w:b/>
          <w:bCs w:val="0"/>
          <w:color w:val="auto"/>
          <w:sz w:val="24"/>
          <w:u w:val="single"/>
        </w:rPr>
        <w:t>代理方（乙方）：</w:t>
      </w:r>
      <w:r>
        <w:rPr>
          <w:rFonts w:hint="eastAsia" w:ascii="宋体" w:hAnsi="宋体" w:eastAsia="宋体" w:cs="宋体"/>
          <w:b/>
          <w:bCs w:val="0"/>
          <w:color w:val="auto"/>
          <w:sz w:val="24"/>
          <w:u w:val="single"/>
          <w:lang w:val="en-US" w:eastAsia="zh-CN"/>
        </w:rPr>
        <w:t xml:space="preserve">                          </w:t>
      </w:r>
    </w:p>
    <w:p w14:paraId="267E453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color w:val="auto"/>
          <w:spacing w:val="20"/>
          <w:kern w:val="0"/>
          <w:sz w:val="24"/>
          <w:szCs w:val="24"/>
        </w:rPr>
      </w:pPr>
    </w:p>
    <w:p w14:paraId="442DE1F3">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rPr>
        <w:t>鉴于甲方须依法向住建相关部门申报</w:t>
      </w:r>
      <w:r>
        <w:rPr>
          <w:rFonts w:hint="eastAsia" w:ascii="宋体" w:hAnsi="宋体" w:cs="宋体"/>
          <w:color w:val="auto"/>
          <w:sz w:val="24"/>
          <w:lang w:val="en-US" w:eastAsia="zh-CN"/>
        </w:rPr>
        <w:t>甲方所持相关</w:t>
      </w:r>
      <w:r>
        <w:rPr>
          <w:rFonts w:hint="eastAsia" w:ascii="宋体" w:hAnsi="宋体" w:eastAsia="宋体" w:cs="宋体"/>
          <w:color w:val="auto"/>
          <w:sz w:val="24"/>
        </w:rPr>
        <w:t>资质</w:t>
      </w:r>
      <w:r>
        <w:rPr>
          <w:rFonts w:hint="eastAsia" w:ascii="宋体" w:hAnsi="宋体" w:cs="宋体"/>
          <w:color w:val="auto"/>
          <w:sz w:val="24"/>
          <w:lang w:val="en-US" w:eastAsia="zh-CN"/>
        </w:rPr>
        <w:t>业务办理事项</w:t>
      </w:r>
      <w:r>
        <w:rPr>
          <w:rFonts w:hint="eastAsia" w:ascii="宋体" w:hAnsi="宋体" w:eastAsia="宋体" w:cs="宋体"/>
          <w:color w:val="auto"/>
          <w:sz w:val="24"/>
        </w:rPr>
        <w:t>，</w:t>
      </w:r>
      <w:r>
        <w:rPr>
          <w:rFonts w:hint="eastAsia" w:eastAsia="Calibri"/>
          <w:sz w:val="24"/>
          <w:szCs w:val="24"/>
        </w:rPr>
        <w:t>甲乙双方依据《中华人民共和国民法典》及相关法律、法规的规定，本着平等、信任、互惠互利的原则</w:t>
      </w:r>
      <w:r>
        <w:rPr>
          <w:rFonts w:hint="eastAsia" w:ascii="宋体" w:hAnsi="宋体" w:eastAsia="宋体" w:cs="宋体"/>
          <w:color w:val="auto"/>
          <w:sz w:val="24"/>
        </w:rPr>
        <w:t>，经友好协商，达成如下一致</w:t>
      </w:r>
      <w:r>
        <w:rPr>
          <w:rFonts w:hint="eastAsia" w:ascii="宋体" w:hAnsi="宋体" w:cs="宋体"/>
          <w:color w:val="auto"/>
          <w:sz w:val="24"/>
          <w:lang w:val="en-US" w:eastAsia="zh-CN"/>
        </w:rPr>
        <w:t>合同</w:t>
      </w:r>
      <w:r>
        <w:rPr>
          <w:rFonts w:hint="eastAsia" w:ascii="宋体" w:hAnsi="宋体" w:eastAsia="宋体" w:cs="宋体"/>
          <w:color w:val="auto"/>
          <w:sz w:val="24"/>
        </w:rPr>
        <w:t>，以资共同</w:t>
      </w:r>
      <w:r>
        <w:rPr>
          <w:rFonts w:hint="eastAsia" w:ascii="宋体" w:hAnsi="宋体" w:eastAsia="宋体" w:cs="宋体"/>
          <w:color w:val="auto"/>
          <w:sz w:val="24"/>
          <w:lang w:val="en-US" w:eastAsia="zh-CN"/>
        </w:rPr>
        <w:t>遵</w:t>
      </w:r>
      <w:r>
        <w:rPr>
          <w:rFonts w:hint="eastAsia" w:ascii="宋体" w:hAnsi="宋体" w:eastAsia="宋体" w:cs="宋体"/>
          <w:color w:val="auto"/>
          <w:sz w:val="24"/>
        </w:rPr>
        <w:t>守</w:t>
      </w:r>
      <w:r>
        <w:rPr>
          <w:rFonts w:hint="eastAsia" w:ascii="宋体" w:hAnsi="宋体" w:eastAsia="宋体" w:cs="宋体"/>
          <w:color w:val="auto"/>
          <w:sz w:val="24"/>
          <w:lang w:eastAsia="zh-CN"/>
        </w:rPr>
        <w:t>：</w:t>
      </w:r>
    </w:p>
    <w:p w14:paraId="06FF2205">
      <w:pPr>
        <w:keepNext w:val="0"/>
        <w:keepLines w:val="0"/>
        <w:pageBreakBefore w:val="0"/>
        <w:widowControl w:val="0"/>
        <w:numPr>
          <w:ilvl w:val="0"/>
          <w:numId w:val="0"/>
        </w:numPr>
        <w:kinsoku/>
        <w:wordWrap/>
        <w:overflowPunct/>
        <w:topLinePunct w:val="0"/>
        <w:autoSpaceDE/>
        <w:autoSpaceDN/>
        <w:bidi w:val="0"/>
        <w:adjustRightInd/>
        <w:snapToGrid/>
        <w:spacing w:line="120" w:lineRule="auto"/>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第一条 </w:t>
      </w:r>
      <w:r>
        <w:rPr>
          <w:rFonts w:hint="eastAsia" w:ascii="宋体" w:hAnsi="宋体" w:eastAsia="宋体" w:cs="宋体"/>
          <w:b/>
          <w:bCs/>
          <w:color w:val="auto"/>
          <w:sz w:val="28"/>
          <w:szCs w:val="28"/>
        </w:rPr>
        <w:t>委托代理咨询服务事项、服务费用</w:t>
      </w:r>
    </w:p>
    <w:p w14:paraId="763E2E24">
      <w:pPr>
        <w:pStyle w:val="44"/>
        <w:keepNext w:val="0"/>
        <w:keepLines w:val="0"/>
        <w:pageBreakBefore w:val="0"/>
        <w:kinsoku/>
        <w:wordWrap/>
        <w:overflowPunct/>
        <w:topLinePunct w:val="0"/>
        <w:autoSpaceDE/>
        <w:autoSpaceDN/>
        <w:bidi w:val="0"/>
        <w:adjustRightInd/>
        <w:snapToGrid/>
        <w:spacing w:line="440" w:lineRule="exact"/>
        <w:ind w:firstLine="480"/>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甲方委托乙方作为其代理人向</w:t>
      </w:r>
      <w:r>
        <w:rPr>
          <w:rFonts w:hint="eastAsia" w:ascii="宋体" w:hAnsi="宋体" w:cs="宋体"/>
          <w:color w:val="auto"/>
          <w:sz w:val="24"/>
          <w:lang w:val="en-US" w:eastAsia="zh-CN"/>
        </w:rPr>
        <w:t>资质</w:t>
      </w:r>
      <w:r>
        <w:rPr>
          <w:rFonts w:hint="eastAsia" w:ascii="宋体" w:hAnsi="宋体" w:eastAsia="宋体" w:cs="宋体"/>
          <w:color w:val="auto"/>
          <w:sz w:val="24"/>
        </w:rPr>
        <w:t>相关</w:t>
      </w:r>
      <w:r>
        <w:rPr>
          <w:rFonts w:hint="eastAsia" w:ascii="宋体" w:hAnsi="宋体" w:eastAsia="宋体" w:cs="宋体"/>
          <w:color w:val="auto"/>
          <w:sz w:val="24"/>
          <w:lang w:val="en-US" w:eastAsia="zh-CN"/>
        </w:rPr>
        <w:t>主管</w:t>
      </w:r>
      <w:r>
        <w:rPr>
          <w:rFonts w:hint="eastAsia" w:ascii="宋体" w:hAnsi="宋体" w:eastAsia="宋体" w:cs="宋体"/>
          <w:color w:val="auto"/>
          <w:sz w:val="24"/>
        </w:rPr>
        <w:t>部门申报</w:t>
      </w:r>
      <w:r>
        <w:rPr>
          <w:rFonts w:hint="eastAsia" w:ascii="宋体" w:hAnsi="宋体" w:cs="宋体"/>
          <w:color w:val="auto"/>
          <w:sz w:val="24"/>
          <w:lang w:val="en-US" w:eastAsia="zh-CN"/>
        </w:rPr>
        <w:t>甲方所持</w:t>
      </w:r>
      <w:r>
        <w:rPr>
          <w:rFonts w:hint="eastAsia" w:ascii="宋体" w:hAnsi="宋体" w:eastAsia="宋体" w:cs="宋体"/>
          <w:color w:val="auto"/>
          <w:sz w:val="24"/>
        </w:rPr>
        <w:t>以下资质</w:t>
      </w:r>
      <w:r>
        <w:rPr>
          <w:rFonts w:hint="eastAsia" w:ascii="宋体" w:hAnsi="宋体" w:cs="宋体"/>
          <w:color w:val="auto"/>
          <w:sz w:val="24"/>
          <w:lang w:val="en-US" w:eastAsia="zh-CN"/>
        </w:rPr>
        <w:t>的换证工作</w:t>
      </w:r>
      <w:r>
        <w:rPr>
          <w:rFonts w:hint="eastAsia" w:ascii="宋体" w:hAnsi="宋体" w:eastAsia="宋体" w:cs="宋体"/>
          <w:color w:val="auto"/>
          <w:sz w:val="24"/>
        </w:rPr>
        <w:t>，并向甲方提供全程技术咨询、协助甲方组织资料及配合报送资料工作</w:t>
      </w:r>
      <w:r>
        <w:rPr>
          <w:rFonts w:hint="eastAsia" w:ascii="宋体" w:hAnsi="宋体" w:cs="宋体"/>
          <w:color w:val="auto"/>
          <w:sz w:val="24"/>
          <w:lang w:val="en-US" w:eastAsia="zh-CN"/>
        </w:rPr>
        <w:t>确保甲方如期顺利完成相关</w:t>
      </w:r>
      <w:r>
        <w:rPr>
          <w:rFonts w:hint="eastAsia" w:ascii="宋体" w:hAnsi="宋体" w:eastAsia="宋体" w:cs="宋体"/>
          <w:color w:val="auto"/>
          <w:sz w:val="24"/>
        </w:rPr>
        <w:t>资质的</w:t>
      </w:r>
      <w:r>
        <w:rPr>
          <w:rFonts w:hint="eastAsia" w:ascii="宋体" w:hAnsi="宋体" w:cs="宋体"/>
          <w:color w:val="auto"/>
          <w:sz w:val="24"/>
          <w:lang w:val="en-US" w:eastAsia="zh-CN"/>
        </w:rPr>
        <w:t>换证业务</w:t>
      </w:r>
      <w:r>
        <w:rPr>
          <w:rFonts w:hint="eastAsia" w:ascii="宋体" w:hAnsi="宋体" w:eastAsia="宋体" w:cs="宋体"/>
          <w:color w:val="auto"/>
          <w:sz w:val="24"/>
        </w:rPr>
        <w:t>。</w:t>
      </w:r>
      <w:r>
        <w:rPr>
          <w:rFonts w:hint="eastAsia" w:ascii="宋体" w:hAnsi="宋体" w:cs="宋体"/>
          <w:color w:val="auto"/>
          <w:sz w:val="24"/>
          <w:lang w:val="en-US" w:eastAsia="zh-CN"/>
        </w:rPr>
        <w:t>同时，乙方所提供的咨询服务应满足采购需求书的要求。</w:t>
      </w:r>
    </w:p>
    <w:p w14:paraId="421F132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eastAsia="zh-CN"/>
        </w:rPr>
        <w:t>、</w:t>
      </w:r>
      <w:r>
        <w:rPr>
          <w:rFonts w:hint="eastAsia" w:ascii="宋体" w:hAnsi="宋体" w:eastAsia="宋体" w:cs="宋体"/>
          <w:color w:val="auto"/>
          <w:sz w:val="24"/>
        </w:rPr>
        <w:t>本合同</w:t>
      </w:r>
      <w:r>
        <w:rPr>
          <w:rFonts w:hint="eastAsia" w:ascii="宋体" w:hAnsi="宋体" w:cs="宋体"/>
          <w:color w:val="auto"/>
          <w:sz w:val="24"/>
          <w:lang w:val="en-US" w:eastAsia="zh-CN"/>
        </w:rPr>
        <w:t>乙方完成前述咨询服务事项甲方应向乙方支付</w:t>
      </w:r>
      <w:r>
        <w:rPr>
          <w:rFonts w:hint="eastAsia" w:ascii="宋体" w:hAnsi="宋体" w:eastAsia="宋体" w:cs="宋体"/>
          <w:color w:val="auto"/>
          <w:sz w:val="24"/>
        </w:rPr>
        <w:t>的咨询服务费：</w:t>
      </w:r>
    </w:p>
    <w:tbl>
      <w:tblPr>
        <w:tblStyle w:val="24"/>
        <w:tblW w:w="8619" w:type="dxa"/>
        <w:jc w:val="center"/>
        <w:tblLayout w:type="fixed"/>
        <w:tblCellMar>
          <w:top w:w="0" w:type="dxa"/>
          <w:left w:w="108" w:type="dxa"/>
          <w:bottom w:w="0" w:type="dxa"/>
          <w:right w:w="108" w:type="dxa"/>
        </w:tblCellMar>
      </w:tblPr>
      <w:tblGrid>
        <w:gridCol w:w="1298"/>
        <w:gridCol w:w="7321"/>
      </w:tblGrid>
      <w:tr w14:paraId="1434072B">
        <w:trPr>
          <w:trHeight w:val="481" w:hRule="atLeast"/>
          <w:jc w:val="center"/>
        </w:trPr>
        <w:tc>
          <w:tcPr>
            <w:tcW w:w="1298" w:type="dxa"/>
            <w:tcBorders>
              <w:top w:val="single" w:color="auto" w:sz="4" w:space="0"/>
              <w:left w:val="single" w:color="auto" w:sz="4" w:space="0"/>
              <w:bottom w:val="single" w:color="auto" w:sz="4" w:space="0"/>
              <w:right w:val="single" w:color="auto" w:sz="4" w:space="0"/>
            </w:tcBorders>
            <w:noWrap/>
            <w:vAlign w:val="center"/>
          </w:tcPr>
          <w:p w14:paraId="4F419F1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序号</w:t>
            </w:r>
          </w:p>
        </w:tc>
        <w:tc>
          <w:tcPr>
            <w:tcW w:w="7321" w:type="dxa"/>
            <w:tcBorders>
              <w:top w:val="single" w:color="auto" w:sz="4" w:space="0"/>
              <w:left w:val="nil"/>
              <w:bottom w:val="single" w:color="auto" w:sz="4" w:space="0"/>
              <w:right w:val="single" w:color="auto" w:sz="4" w:space="0"/>
            </w:tcBorders>
            <w:noWrap/>
            <w:vAlign w:val="center"/>
          </w:tcPr>
          <w:p w14:paraId="04FF4AF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auto"/>
                <w:kern w:val="0"/>
                <w:sz w:val="24"/>
                <w:lang w:val="en-US"/>
              </w:rPr>
            </w:pPr>
            <w:r>
              <w:rPr>
                <w:rFonts w:hint="eastAsia" w:ascii="宋体" w:hAnsi="宋体" w:cs="宋体"/>
                <w:color w:val="auto"/>
                <w:kern w:val="0"/>
                <w:sz w:val="24"/>
                <w:lang w:val="en-US" w:eastAsia="zh-CN"/>
              </w:rPr>
              <w:t>需申报</w:t>
            </w:r>
            <w:r>
              <w:rPr>
                <w:rFonts w:hint="eastAsia" w:ascii="宋体" w:hAnsi="宋体" w:eastAsia="宋体" w:cs="宋体"/>
                <w:color w:val="auto"/>
                <w:kern w:val="0"/>
                <w:sz w:val="24"/>
                <w:lang w:val="en-US" w:eastAsia="zh-CN"/>
              </w:rPr>
              <w:t>资质事项</w:t>
            </w:r>
          </w:p>
        </w:tc>
      </w:tr>
      <w:tr w14:paraId="2A86636D">
        <w:tblPrEx>
          <w:tblCellMar>
            <w:top w:w="0" w:type="dxa"/>
            <w:left w:w="108" w:type="dxa"/>
            <w:bottom w:w="0" w:type="dxa"/>
            <w:right w:w="108" w:type="dxa"/>
          </w:tblCellMar>
        </w:tblPrEx>
        <w:trPr>
          <w:trHeight w:val="900" w:hRule="atLeast"/>
          <w:jc w:val="center"/>
        </w:trPr>
        <w:tc>
          <w:tcPr>
            <w:tcW w:w="1298" w:type="dxa"/>
            <w:tcBorders>
              <w:top w:val="nil"/>
              <w:left w:val="single" w:color="auto" w:sz="4" w:space="0"/>
              <w:bottom w:val="single" w:color="auto" w:sz="4" w:space="0"/>
              <w:right w:val="single" w:color="auto" w:sz="4" w:space="0"/>
            </w:tcBorders>
            <w:noWrap/>
            <w:vAlign w:val="center"/>
          </w:tcPr>
          <w:p w14:paraId="248E195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1</w:t>
            </w:r>
          </w:p>
        </w:tc>
        <w:tc>
          <w:tcPr>
            <w:tcW w:w="7321" w:type="dxa"/>
            <w:tcBorders>
              <w:top w:val="nil"/>
              <w:left w:val="nil"/>
              <w:bottom w:val="single" w:color="auto" w:sz="4" w:space="0"/>
              <w:right w:val="single" w:color="auto" w:sz="4" w:space="0"/>
            </w:tcBorders>
            <w:noWrap/>
            <w:vAlign w:val="center"/>
          </w:tcPr>
          <w:p w14:paraId="58D639B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auto"/>
                <w:kern w:val="0"/>
                <w:sz w:val="24"/>
                <w:lang w:val="en-US" w:eastAsia="zh-CN"/>
              </w:rPr>
            </w:pPr>
            <w:r>
              <w:rPr>
                <w:rFonts w:hint="default" w:ascii="宋体" w:hAnsi="宋体" w:eastAsia="宋体" w:cs="宋体"/>
                <w:color w:val="auto"/>
                <w:kern w:val="0"/>
                <w:sz w:val="24"/>
                <w:lang w:val="en-US" w:eastAsia="zh-CN"/>
              </w:rPr>
              <w:t>公路</w:t>
            </w:r>
            <w:r>
              <w:rPr>
                <w:rFonts w:hint="eastAsia" w:ascii="宋体" w:hAnsi="宋体" w:cs="宋体"/>
                <w:color w:val="auto"/>
                <w:kern w:val="0"/>
                <w:sz w:val="24"/>
                <w:lang w:val="en-US" w:eastAsia="zh-CN"/>
              </w:rPr>
              <w:t>工程施工</w:t>
            </w:r>
            <w:r>
              <w:rPr>
                <w:rFonts w:hint="default" w:ascii="宋体" w:hAnsi="宋体" w:eastAsia="宋体" w:cs="宋体"/>
                <w:color w:val="auto"/>
                <w:kern w:val="0"/>
                <w:sz w:val="24"/>
                <w:lang w:val="en-US" w:eastAsia="zh-CN"/>
              </w:rPr>
              <w:t>总</w:t>
            </w:r>
            <w:r>
              <w:rPr>
                <w:rFonts w:hint="eastAsia" w:ascii="宋体" w:hAnsi="宋体" w:cs="宋体"/>
                <w:color w:val="auto"/>
                <w:kern w:val="0"/>
                <w:sz w:val="24"/>
                <w:lang w:val="en-US" w:eastAsia="zh-CN"/>
              </w:rPr>
              <w:t>承</w:t>
            </w:r>
            <w:r>
              <w:rPr>
                <w:rFonts w:hint="default" w:ascii="宋体" w:hAnsi="宋体" w:eastAsia="宋体" w:cs="宋体"/>
                <w:color w:val="auto"/>
                <w:kern w:val="0"/>
                <w:sz w:val="24"/>
                <w:lang w:val="en-US" w:eastAsia="zh-CN"/>
              </w:rPr>
              <w:t>包</w:t>
            </w:r>
            <w:r>
              <w:rPr>
                <w:rFonts w:hint="eastAsia" w:ascii="宋体" w:hAnsi="宋体" w:cs="宋体"/>
                <w:color w:val="auto"/>
                <w:kern w:val="0"/>
                <w:sz w:val="24"/>
                <w:lang w:val="en-US" w:eastAsia="zh-CN"/>
              </w:rPr>
              <w:t>一</w:t>
            </w:r>
            <w:r>
              <w:rPr>
                <w:rFonts w:hint="default" w:ascii="宋体" w:hAnsi="宋体" w:eastAsia="宋体" w:cs="宋体"/>
                <w:color w:val="auto"/>
                <w:kern w:val="0"/>
                <w:sz w:val="24"/>
                <w:lang w:val="en-US" w:eastAsia="zh-CN"/>
              </w:rPr>
              <w:t>级一年证书换五年证书咨询服务费</w:t>
            </w:r>
          </w:p>
        </w:tc>
      </w:tr>
      <w:tr w14:paraId="20778CB8">
        <w:tblPrEx>
          <w:tblCellMar>
            <w:top w:w="0" w:type="dxa"/>
            <w:left w:w="108" w:type="dxa"/>
            <w:bottom w:w="0" w:type="dxa"/>
            <w:right w:w="108" w:type="dxa"/>
          </w:tblCellMar>
        </w:tblPrEx>
        <w:trPr>
          <w:trHeight w:val="465" w:hRule="atLeast"/>
          <w:jc w:val="center"/>
        </w:trPr>
        <w:tc>
          <w:tcPr>
            <w:tcW w:w="8619" w:type="dxa"/>
            <w:gridSpan w:val="2"/>
            <w:tcBorders>
              <w:top w:val="single" w:color="auto" w:sz="4" w:space="0"/>
              <w:left w:val="single" w:color="auto" w:sz="4" w:space="0"/>
              <w:bottom w:val="single" w:color="auto" w:sz="4" w:space="0"/>
              <w:right w:val="single" w:color="auto" w:sz="4" w:space="0"/>
            </w:tcBorders>
            <w:noWrap/>
            <w:vAlign w:val="center"/>
          </w:tcPr>
          <w:p w14:paraId="09870E2E">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总价（不含税）：（小写）</w:t>
            </w:r>
            <w:r>
              <w:rPr>
                <w:rFonts w:hint="default" w:ascii="宋体" w:hAnsi="宋体" w:eastAsia="宋体" w:cs="宋体"/>
                <w:color w:val="auto"/>
                <w:kern w:val="0"/>
                <w:sz w:val="24"/>
                <w:lang w:val="en-US" w:eastAsia="zh-CN"/>
              </w:rPr>
              <w:t>¥</w:t>
            </w:r>
            <w:r>
              <w:rPr>
                <w:rFonts w:hint="eastAsia" w:eastAsia="仿宋_GB2312"/>
                <w:color w:val="auto"/>
                <w:sz w:val="32"/>
                <w:szCs w:val="32"/>
                <w:highlight w:val="none"/>
                <w:u w:val="single"/>
                <w:lang w:val="en-US" w:eastAsia="zh-CN"/>
              </w:rPr>
              <w:t xml:space="preserve">      </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lang w:val="en-US" w:eastAsia="zh-CN"/>
              </w:rPr>
              <w:t xml:space="preserve">  （大写）</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lang w:val="en-US" w:eastAsia="zh-CN"/>
              </w:rPr>
              <w:t xml:space="preserve"> </w:t>
            </w:r>
          </w:p>
        </w:tc>
      </w:tr>
      <w:tr w14:paraId="243E19E1">
        <w:tblPrEx>
          <w:tblCellMar>
            <w:top w:w="0" w:type="dxa"/>
            <w:left w:w="108" w:type="dxa"/>
            <w:bottom w:w="0" w:type="dxa"/>
            <w:right w:w="108" w:type="dxa"/>
          </w:tblCellMar>
        </w:tblPrEx>
        <w:trPr>
          <w:trHeight w:val="495" w:hRule="atLeast"/>
          <w:jc w:val="center"/>
        </w:trPr>
        <w:tc>
          <w:tcPr>
            <w:tcW w:w="8619" w:type="dxa"/>
            <w:gridSpan w:val="2"/>
            <w:tcBorders>
              <w:top w:val="single" w:color="auto" w:sz="4" w:space="0"/>
              <w:left w:val="single" w:color="auto" w:sz="4" w:space="0"/>
              <w:bottom w:val="single" w:color="auto" w:sz="4" w:space="0"/>
              <w:right w:val="single" w:color="auto" w:sz="4" w:space="0"/>
            </w:tcBorders>
            <w:noWrap/>
            <w:vAlign w:val="center"/>
          </w:tcPr>
          <w:p w14:paraId="4ED238CD">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总价（含税</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lang w:val="en-US" w:eastAsia="zh-CN"/>
              </w:rPr>
              <w:t>）：（小写）</w:t>
            </w:r>
            <w:r>
              <w:rPr>
                <w:rFonts w:hint="default" w:ascii="宋体" w:hAnsi="宋体" w:eastAsia="宋体" w:cs="宋体"/>
                <w:color w:val="auto"/>
                <w:kern w:val="0"/>
                <w:sz w:val="24"/>
                <w:lang w:val="en-US" w:eastAsia="zh-CN"/>
              </w:rPr>
              <w:t>¥</w:t>
            </w:r>
            <w:r>
              <w:rPr>
                <w:rFonts w:hint="eastAsia" w:eastAsia="仿宋_GB2312"/>
                <w:color w:val="auto"/>
                <w:sz w:val="32"/>
                <w:szCs w:val="32"/>
                <w:highlight w:val="none"/>
                <w:u w:val="single"/>
                <w:lang w:val="en-US" w:eastAsia="zh-CN"/>
              </w:rPr>
              <w:t xml:space="preserve">      </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lang w:val="en-US" w:eastAsia="zh-CN"/>
              </w:rPr>
              <w:t xml:space="preserve">  （大写）</w:t>
            </w:r>
            <w:r>
              <w:rPr>
                <w:rFonts w:hint="eastAsia" w:ascii="宋体" w:hAnsi="宋体" w:cs="宋体"/>
                <w:color w:val="auto"/>
                <w:kern w:val="0"/>
                <w:sz w:val="24"/>
                <w:u w:val="single"/>
                <w:lang w:val="en-US" w:eastAsia="zh-CN"/>
              </w:rPr>
              <w:t xml:space="preserve">            </w:t>
            </w:r>
          </w:p>
        </w:tc>
      </w:tr>
    </w:tbl>
    <w:p w14:paraId="31C5CD97">
      <w:pPr>
        <w:keepNext w:val="0"/>
        <w:keepLines w:val="0"/>
        <w:pageBreakBefore w:val="0"/>
        <w:widowControl w:val="0"/>
        <w:numPr>
          <w:ilvl w:val="0"/>
          <w:numId w:val="0"/>
        </w:numPr>
        <w:kinsoku/>
        <w:wordWrap/>
        <w:overflowPunct/>
        <w:topLinePunct w:val="0"/>
        <w:autoSpaceDE/>
        <w:autoSpaceDN/>
        <w:bidi w:val="0"/>
        <w:adjustRightInd/>
        <w:snapToGrid/>
        <w:spacing w:line="120" w:lineRule="auto"/>
        <w:ind w:left="630" w:leftChars="0"/>
        <w:jc w:val="both"/>
        <w:textAlignment w:val="auto"/>
        <w:rPr>
          <w:rFonts w:hint="default" w:ascii="宋体" w:hAnsi="宋体" w:cs="宋体"/>
          <w:color w:val="auto"/>
          <w:kern w:val="2"/>
          <w:sz w:val="24"/>
          <w:szCs w:val="22"/>
          <w:lang w:val="en-US" w:eastAsia="zh-CN" w:bidi="ar-SA"/>
        </w:rPr>
      </w:pPr>
      <w:r>
        <w:rPr>
          <w:rFonts w:hint="eastAsia" w:ascii="宋体" w:hAnsi="宋体" w:cs="宋体"/>
          <w:color w:val="auto"/>
          <w:kern w:val="2"/>
          <w:sz w:val="24"/>
          <w:szCs w:val="22"/>
          <w:lang w:val="en-US" w:eastAsia="zh-CN" w:bidi="ar-SA"/>
        </w:rPr>
        <w:t>3、以上价格不包含人员猎聘费以及猎聘期间人员社保费用。</w:t>
      </w:r>
    </w:p>
    <w:p w14:paraId="078C8134">
      <w:pPr>
        <w:keepNext w:val="0"/>
        <w:keepLines w:val="0"/>
        <w:pageBreakBefore w:val="0"/>
        <w:widowControl w:val="0"/>
        <w:kinsoku/>
        <w:wordWrap/>
        <w:overflowPunct/>
        <w:topLinePunct w:val="0"/>
        <w:autoSpaceDE/>
        <w:autoSpaceDN/>
        <w:bidi w:val="0"/>
        <w:adjustRightInd/>
        <w:snapToGrid/>
        <w:spacing w:line="120" w:lineRule="auto"/>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第二条</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付款</w:t>
      </w:r>
      <w:r>
        <w:rPr>
          <w:rFonts w:hint="eastAsia" w:ascii="宋体" w:hAnsi="宋体" w:eastAsia="宋体" w:cs="宋体"/>
          <w:b/>
          <w:bCs/>
          <w:color w:val="auto"/>
          <w:sz w:val="28"/>
          <w:szCs w:val="28"/>
          <w:lang w:val="en-US" w:eastAsia="zh-CN"/>
        </w:rPr>
        <w:t>条款</w:t>
      </w:r>
      <w:r>
        <w:rPr>
          <w:rFonts w:hint="eastAsia" w:ascii="宋体" w:hAnsi="宋体" w:eastAsia="宋体" w:cs="宋体"/>
          <w:b/>
          <w:bCs/>
          <w:color w:val="auto"/>
          <w:sz w:val="28"/>
          <w:szCs w:val="28"/>
        </w:rPr>
        <w:t>及付款方式</w:t>
      </w:r>
    </w:p>
    <w:p w14:paraId="25EED24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1、【付款</w:t>
      </w:r>
      <w:r>
        <w:rPr>
          <w:rFonts w:hint="eastAsia" w:ascii="宋体" w:hAnsi="宋体" w:eastAsia="宋体" w:cs="宋体"/>
          <w:b/>
          <w:bCs/>
          <w:color w:val="auto"/>
          <w:sz w:val="24"/>
          <w:lang w:val="en-US" w:eastAsia="zh-CN"/>
        </w:rPr>
        <w:t>条款</w:t>
      </w:r>
      <w:r>
        <w:rPr>
          <w:rFonts w:hint="eastAsia" w:ascii="宋体" w:hAnsi="宋体" w:eastAsia="宋体" w:cs="宋体"/>
          <w:b/>
          <w:bCs/>
          <w:color w:val="auto"/>
          <w:sz w:val="24"/>
        </w:rPr>
        <w:t>】</w:t>
      </w:r>
    </w:p>
    <w:p w14:paraId="5C574C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本次采购咨询服务不设预付款；</w:t>
      </w:r>
    </w:p>
    <w:p w14:paraId="4D5661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在我公司成功取得住建部核发的有效期为5年的建筑业企业资质证书之日后</w:t>
      </w:r>
      <w:r>
        <w:rPr>
          <w:rFonts w:hint="eastAsia" w:ascii="宋体" w:hAnsi="宋体" w:cs="宋体"/>
          <w:color w:val="auto"/>
          <w:kern w:val="2"/>
          <w:sz w:val="24"/>
          <w:szCs w:val="22"/>
          <w:lang w:val="en-US" w:eastAsia="zh-CN" w:bidi="ar-SA"/>
        </w:rPr>
        <w:t>10</w:t>
      </w:r>
      <w:r>
        <w:rPr>
          <w:rFonts w:hint="eastAsia" w:ascii="宋体" w:hAnsi="宋体" w:eastAsia="宋体" w:cs="宋体"/>
          <w:color w:val="auto"/>
          <w:kern w:val="2"/>
          <w:sz w:val="24"/>
          <w:szCs w:val="22"/>
          <w:lang w:val="en-US" w:eastAsia="zh-CN" w:bidi="ar-SA"/>
        </w:rPr>
        <w:t>个工作日内，我公司一次性支付合同约定全额服务费用的100%（咨询服务单位在投标报价时，应充分考虑此付款方式下的资金成本与风险）。否则甲方不支付任何费用。</w:t>
      </w:r>
    </w:p>
    <w:p w14:paraId="11F086A9">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cs="宋体"/>
          <w:b/>
          <w:bCs/>
          <w:color w:val="auto"/>
          <w:sz w:val="28"/>
          <w:szCs w:val="28"/>
          <w:lang w:val="en-US" w:eastAsia="zh-CN"/>
        </w:rPr>
      </w:pPr>
      <w:r>
        <w:rPr>
          <w:rFonts w:hint="eastAsia" w:ascii="宋体" w:hAnsi="宋体" w:eastAsia="宋体" w:cs="宋体"/>
          <w:b/>
          <w:bCs/>
          <w:color w:val="auto"/>
          <w:sz w:val="28"/>
          <w:szCs w:val="28"/>
        </w:rPr>
        <w:t>第三条</w:t>
      </w:r>
      <w:r>
        <w:rPr>
          <w:rFonts w:hint="eastAsia" w:ascii="宋体" w:hAnsi="宋体" w:eastAsia="宋体" w:cs="宋体"/>
          <w:b/>
          <w:bCs/>
          <w:color w:val="auto"/>
          <w:sz w:val="28"/>
          <w:szCs w:val="28"/>
          <w:lang w:val="en-US" w:eastAsia="zh-CN"/>
        </w:rPr>
        <w:t xml:space="preserve"> </w:t>
      </w:r>
      <w:r>
        <w:rPr>
          <w:rFonts w:hint="eastAsia" w:ascii="宋体" w:hAnsi="宋体" w:cs="宋体"/>
          <w:b/>
          <w:bCs/>
          <w:color w:val="auto"/>
          <w:sz w:val="28"/>
          <w:szCs w:val="28"/>
          <w:lang w:val="en-US" w:eastAsia="zh-CN"/>
        </w:rPr>
        <w:t>服务要求与期限</w:t>
      </w:r>
    </w:p>
    <w:p w14:paraId="61E639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auto"/>
          <w:kern w:val="2"/>
          <w:sz w:val="24"/>
          <w:szCs w:val="22"/>
          <w:lang w:val="en-US" w:eastAsia="zh-CN" w:bidi="ar-SA"/>
        </w:rPr>
      </w:pPr>
      <w:r>
        <w:rPr>
          <w:rFonts w:hint="eastAsia" w:ascii="宋体" w:hAnsi="宋体" w:cs="宋体"/>
          <w:color w:val="auto"/>
          <w:kern w:val="2"/>
          <w:sz w:val="24"/>
          <w:szCs w:val="22"/>
          <w:lang w:val="en-US" w:eastAsia="zh-CN" w:bidi="ar-SA"/>
        </w:rPr>
        <w:t>一</w:t>
      </w:r>
      <w:r>
        <w:rPr>
          <w:rFonts w:hint="eastAsia" w:ascii="宋体" w:hAnsi="宋体" w:eastAsia="宋体" w:cs="宋体"/>
          <w:color w:val="auto"/>
          <w:kern w:val="2"/>
          <w:sz w:val="24"/>
          <w:szCs w:val="22"/>
          <w:lang w:val="en-US" w:eastAsia="zh-CN" w:bidi="ar-SA"/>
        </w:rPr>
        <w:t>、服务要求</w:t>
      </w:r>
    </w:p>
    <w:p w14:paraId="54901D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1、2026年3月12日前成功取得由主管部门核发的有效期为5年的建筑业企业资质证书。否则采购方不支付任何费用。</w:t>
      </w:r>
    </w:p>
    <w:p w14:paraId="114F74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2、中标咨询服务单位须提供以下全流程、全托式的专业服务：</w:t>
      </w:r>
    </w:p>
    <w:p w14:paraId="528F97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（1）方案设计与合规审查：基于我司人员齐全的现状，提供详细的申报材料清单，制定最优申报方案，并对现有全部材料进行合规性预审，确保万无一失。</w:t>
      </w:r>
    </w:p>
    <w:p w14:paraId="714311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（2）材料主导编制： 负责全部申报材料的精细化编制、校对与定稿，确保符合住建部最新标准与隐性要求。</w:t>
      </w:r>
    </w:p>
    <w:p w14:paraId="6BF6A4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（3）系统申报与全程跟踪： 负责“广东三库一平台”和住建部申报软件的数据填报与维护，并全程跟踪申报进度，及时反馈。</w:t>
      </w:r>
    </w:p>
    <w:p w14:paraId="49CC72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（4）问题协调与响应： 如审批过程中遇到质询或补正要求或陈述，须提供专业解决方案并负责完成所有解释、说明及补正材料的编写与提交。</w:t>
      </w:r>
    </w:p>
    <w:p w14:paraId="5C9310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cs="宋体"/>
          <w:color w:val="auto"/>
          <w:kern w:val="2"/>
          <w:sz w:val="24"/>
          <w:szCs w:val="22"/>
          <w:lang w:val="en-US" w:eastAsia="zh-CN" w:bidi="ar-SA"/>
        </w:rPr>
        <w:t>二</w:t>
      </w:r>
      <w:r>
        <w:rPr>
          <w:rFonts w:hint="eastAsia" w:ascii="宋体" w:hAnsi="宋体" w:eastAsia="宋体" w:cs="宋体"/>
          <w:color w:val="auto"/>
          <w:kern w:val="2"/>
          <w:sz w:val="24"/>
          <w:szCs w:val="22"/>
          <w:lang w:val="en-US" w:eastAsia="zh-CN" w:bidi="ar-SA"/>
        </w:rPr>
        <w:t>、服务期限</w:t>
      </w:r>
    </w:p>
    <w:p w14:paraId="484B3B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合同签订之日起至我公司成功取得由主管部门核发的有效期为5年的建筑业企业资质证书，其中关键节点时间：</w:t>
      </w:r>
    </w:p>
    <w:p w14:paraId="26776B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1、合同签订后10个工作日内：完成全部材料初审与方案确认。</w:t>
      </w:r>
    </w:p>
    <w:p w14:paraId="02B6D6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2、安徽金屯路桥注销完成后10个工作日内：完成全套申报材料的编制与定稿。</w:t>
      </w:r>
    </w:p>
    <w:p w14:paraId="26D76A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3、2026年2月1日前：完成审批流程，取得住建部资质审查意见的公示，且对我公司的资质审查意见为“同意”。</w:t>
      </w:r>
    </w:p>
    <w:p w14:paraId="3BCE92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2"/>
          <w:lang w:val="en-US" w:eastAsia="zh-CN" w:bidi="ar-SA"/>
        </w:rPr>
      </w:pPr>
      <w:r>
        <w:rPr>
          <w:rFonts w:hint="eastAsia" w:ascii="宋体" w:hAnsi="宋体" w:eastAsia="宋体" w:cs="宋体"/>
          <w:color w:val="auto"/>
          <w:kern w:val="2"/>
          <w:sz w:val="24"/>
          <w:szCs w:val="22"/>
          <w:lang w:val="en-US" w:eastAsia="zh-CN" w:bidi="ar-SA"/>
        </w:rPr>
        <w:t>4、最终完成期限：2026年3月12日前，取得住建部核发的有效期为5年的建筑业企业资质证书。</w:t>
      </w:r>
    </w:p>
    <w:p w14:paraId="1BF3D221">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第</w:t>
      </w:r>
      <w:r>
        <w:rPr>
          <w:rFonts w:hint="eastAsia" w:ascii="宋体" w:hAnsi="宋体" w:cs="宋体"/>
          <w:b/>
          <w:bCs/>
          <w:color w:val="auto"/>
          <w:sz w:val="28"/>
          <w:szCs w:val="28"/>
          <w:lang w:val="en-US" w:eastAsia="zh-CN"/>
        </w:rPr>
        <w:t>四</w:t>
      </w:r>
      <w:r>
        <w:rPr>
          <w:rFonts w:hint="eastAsia" w:ascii="宋体" w:hAnsi="宋体" w:eastAsia="宋体" w:cs="宋体"/>
          <w:b/>
          <w:bCs/>
          <w:color w:val="auto"/>
          <w:sz w:val="28"/>
          <w:szCs w:val="28"/>
        </w:rPr>
        <w:t>条</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甲</w:t>
      </w:r>
      <w:r>
        <w:rPr>
          <w:rFonts w:hint="eastAsia" w:ascii="宋体" w:hAnsi="宋体" w:eastAsia="宋体" w:cs="宋体"/>
          <w:b/>
          <w:bCs/>
          <w:color w:val="auto"/>
          <w:sz w:val="28"/>
          <w:szCs w:val="28"/>
          <w:highlight w:val="none"/>
        </w:rPr>
        <w:t>方权利与义务</w:t>
      </w:r>
    </w:p>
    <w:p w14:paraId="5AF4111C">
      <w:pPr>
        <w:pStyle w:val="44"/>
        <w:keepNext w:val="0"/>
        <w:keepLines w:val="0"/>
        <w:pageBreakBefore w:val="0"/>
        <w:widowControl w:val="0"/>
        <w:kinsoku/>
        <w:wordWrap/>
        <w:overflowPunct/>
        <w:topLinePunct w:val="0"/>
        <w:autoSpaceDE/>
        <w:autoSpaceDN/>
        <w:bidi w:val="0"/>
        <w:adjustRightInd/>
        <w:snapToGrid/>
        <w:spacing w:line="500" w:lineRule="atLeast"/>
        <w:ind w:firstLine="480"/>
        <w:textAlignment w:val="auto"/>
        <w:rPr>
          <w:rFonts w:hint="eastAsia" w:ascii="宋体" w:hAnsi="宋体" w:eastAsia="宋体" w:cs="宋体"/>
          <w:color w:val="000000"/>
          <w:sz w:val="24"/>
        </w:rPr>
      </w:pPr>
      <w:r>
        <w:rPr>
          <w:rFonts w:hint="eastAsia" w:ascii="宋体" w:hAnsi="宋体" w:eastAsia="宋体" w:cs="宋体"/>
          <w:color w:val="000000"/>
          <w:sz w:val="24"/>
        </w:rPr>
        <w:t>1、甲方应当在合同生效之日起当日内，按</w:t>
      </w:r>
      <w:r>
        <w:rPr>
          <w:rFonts w:hint="eastAsia" w:ascii="宋体" w:hAnsi="宋体" w:cs="宋体"/>
          <w:color w:val="000000"/>
          <w:sz w:val="24"/>
          <w:lang w:val="en-US" w:eastAsia="zh-CN"/>
        </w:rPr>
        <w:t>政府部门相关换证事项的</w:t>
      </w:r>
      <w:r>
        <w:rPr>
          <w:rFonts w:hint="eastAsia" w:ascii="宋体" w:hAnsi="宋体" w:eastAsia="宋体" w:cs="宋体"/>
          <w:color w:val="auto"/>
          <w:sz w:val="24"/>
        </w:rPr>
        <w:t>要</w:t>
      </w:r>
      <w:r>
        <w:rPr>
          <w:rFonts w:hint="eastAsia" w:ascii="宋体" w:hAnsi="宋体" w:cs="宋体"/>
          <w:color w:val="auto"/>
          <w:sz w:val="24"/>
          <w:lang w:eastAsia="zh-CN"/>
        </w:rPr>
        <w:t>求</w:t>
      </w:r>
      <w:r>
        <w:rPr>
          <w:rFonts w:hint="eastAsia" w:ascii="宋体" w:hAnsi="宋体" w:cs="宋体"/>
          <w:color w:val="auto"/>
          <w:sz w:val="24"/>
          <w:lang w:val="en-US" w:eastAsia="zh-CN"/>
        </w:rPr>
        <w:t>向乙方</w:t>
      </w:r>
      <w:r>
        <w:rPr>
          <w:rFonts w:hint="eastAsia" w:ascii="宋体" w:hAnsi="宋体" w:cs="宋体"/>
          <w:color w:val="auto"/>
          <w:sz w:val="24"/>
          <w:lang w:eastAsia="zh-CN"/>
        </w:rPr>
        <w:t>提</w:t>
      </w:r>
      <w:r>
        <w:rPr>
          <w:rFonts w:hint="eastAsia" w:ascii="宋体" w:hAnsi="宋体" w:eastAsia="宋体" w:cs="宋体"/>
          <w:color w:val="000000"/>
          <w:sz w:val="24"/>
        </w:rPr>
        <w:t>供真实、合法、有效、完整的申报材料及信息。申报材料需要加盖公章或由负责人签名的，甲方应当予以积极配合。</w:t>
      </w:r>
    </w:p>
    <w:p w14:paraId="69211FF7">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rPr>
        <w:t>2、</w:t>
      </w:r>
      <w:r>
        <w:rPr>
          <w:rFonts w:hint="eastAsia" w:ascii="宋体" w:hAnsi="宋体" w:eastAsia="宋体" w:cs="宋体"/>
          <w:color w:val="000000"/>
          <w:sz w:val="24"/>
          <w:lang w:val="en-US" w:eastAsia="zh-CN"/>
        </w:rPr>
        <w:t>在乙方按照合同约定履行合同义务的前提下，</w:t>
      </w:r>
      <w:r>
        <w:rPr>
          <w:rFonts w:hint="eastAsia" w:ascii="宋体" w:hAnsi="宋体" w:eastAsia="宋体" w:cs="宋体"/>
          <w:color w:val="000000"/>
          <w:sz w:val="24"/>
        </w:rPr>
        <w:t>甲方应严格按照本合同的约定支付费用</w:t>
      </w:r>
      <w:r>
        <w:rPr>
          <w:rFonts w:hint="eastAsia" w:ascii="宋体" w:hAnsi="宋体" w:eastAsia="宋体" w:cs="宋体"/>
          <w:sz w:val="24"/>
        </w:rPr>
        <w:t>。</w:t>
      </w:r>
    </w:p>
    <w:p w14:paraId="58A8D1CF">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color w:val="000000"/>
          <w:sz w:val="24"/>
          <w:lang w:val="en-US" w:eastAsia="zh-CN"/>
        </w:rPr>
      </w:pPr>
      <w:r>
        <w:rPr>
          <w:rFonts w:hint="eastAsia" w:ascii="宋体" w:hAnsi="宋体" w:cs="宋体"/>
          <w:color w:val="000000"/>
          <w:sz w:val="24"/>
          <w:lang w:val="en-US" w:eastAsia="zh-CN"/>
        </w:rPr>
        <w:t>3</w:t>
      </w:r>
      <w:r>
        <w:rPr>
          <w:rFonts w:hint="eastAsia" w:ascii="宋体" w:hAnsi="宋体" w:eastAsia="宋体" w:cs="宋体"/>
          <w:color w:val="000000"/>
          <w:sz w:val="24"/>
        </w:rPr>
        <w:t>、</w:t>
      </w:r>
      <w:r>
        <w:rPr>
          <w:rFonts w:hint="eastAsia" w:ascii="宋体" w:hAnsi="宋体" w:cs="宋体"/>
          <w:color w:val="000000"/>
          <w:sz w:val="24"/>
          <w:lang w:val="en-US" w:eastAsia="zh-CN"/>
        </w:rPr>
        <w:t>资质申报需要的包括但不限于人员、社保等由甲方承担或提供，乙方只负责整理收集上报资料和协调住建部门审批</w:t>
      </w:r>
      <w:r>
        <w:rPr>
          <w:rFonts w:hint="eastAsia" w:ascii="宋体" w:hAnsi="宋体" w:eastAsia="宋体" w:cs="宋体"/>
          <w:color w:val="000000"/>
          <w:sz w:val="24"/>
          <w:lang w:val="en-US" w:eastAsia="zh-CN"/>
        </w:rPr>
        <w:t>。</w:t>
      </w:r>
    </w:p>
    <w:p w14:paraId="427AC2C6">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第</w:t>
      </w:r>
      <w:r>
        <w:rPr>
          <w:rFonts w:hint="eastAsia" w:ascii="宋体" w:hAnsi="宋体" w:cs="宋体"/>
          <w:b/>
          <w:bCs/>
          <w:color w:val="000000"/>
          <w:sz w:val="28"/>
          <w:szCs w:val="28"/>
          <w:highlight w:val="none"/>
          <w:lang w:val="en-US" w:eastAsia="zh-CN"/>
        </w:rPr>
        <w:t>五</w:t>
      </w:r>
      <w:r>
        <w:rPr>
          <w:rFonts w:hint="eastAsia" w:ascii="宋体" w:hAnsi="宋体" w:eastAsia="宋体" w:cs="宋体"/>
          <w:b/>
          <w:bCs/>
          <w:color w:val="000000"/>
          <w:sz w:val="28"/>
          <w:szCs w:val="28"/>
          <w:highlight w:val="none"/>
        </w:rPr>
        <w:t>条</w:t>
      </w:r>
      <w:r>
        <w:rPr>
          <w:rFonts w:hint="eastAsia" w:ascii="宋体" w:hAnsi="宋体" w:eastAsia="宋体" w:cs="宋体"/>
          <w:b/>
          <w:bCs/>
          <w:color w:val="000000"/>
          <w:sz w:val="28"/>
          <w:szCs w:val="28"/>
          <w:highlight w:val="none"/>
          <w:lang w:val="en-US" w:eastAsia="zh-CN"/>
        </w:rPr>
        <w:t xml:space="preserve"> </w:t>
      </w:r>
      <w:r>
        <w:rPr>
          <w:rFonts w:hint="eastAsia" w:ascii="宋体" w:hAnsi="宋体" w:eastAsia="宋体" w:cs="宋体"/>
          <w:b/>
          <w:bCs/>
          <w:color w:val="000000"/>
          <w:sz w:val="28"/>
          <w:szCs w:val="28"/>
          <w:highlight w:val="none"/>
        </w:rPr>
        <w:t>乙方权利与义务</w:t>
      </w:r>
    </w:p>
    <w:p w14:paraId="21C59804">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1、乙方应在</w:t>
      </w:r>
      <w:r>
        <w:rPr>
          <w:rFonts w:hint="eastAsia" w:ascii="宋体" w:hAnsi="宋体" w:cs="宋体"/>
          <w:color w:val="000000"/>
          <w:sz w:val="24"/>
          <w:lang w:val="en-US" w:eastAsia="zh-CN"/>
        </w:rPr>
        <w:t>合同签订</w:t>
      </w:r>
      <w:r>
        <w:rPr>
          <w:rFonts w:hint="eastAsia" w:ascii="宋体" w:hAnsi="宋体" w:eastAsia="宋体" w:cs="宋体"/>
          <w:color w:val="000000"/>
          <w:sz w:val="24"/>
        </w:rPr>
        <w:t>之日起3个工作日内，安排工作人员与甲方公司对接，并收取申报所需资料。</w:t>
      </w:r>
    </w:p>
    <w:p w14:paraId="47D261A5">
      <w:pPr>
        <w:pStyle w:val="44"/>
        <w:keepNext w:val="0"/>
        <w:keepLines w:val="0"/>
        <w:pageBreakBefore w:val="0"/>
        <w:widowControl w:val="0"/>
        <w:kinsoku/>
        <w:wordWrap/>
        <w:overflowPunct/>
        <w:topLinePunct w:val="0"/>
        <w:autoSpaceDE/>
        <w:autoSpaceDN/>
        <w:bidi w:val="0"/>
        <w:adjustRightInd/>
        <w:snapToGrid/>
        <w:spacing w:line="500" w:lineRule="atLeast"/>
        <w:ind w:firstLine="480"/>
        <w:textAlignment w:val="auto"/>
        <w:rPr>
          <w:rFonts w:hint="eastAsia" w:ascii="宋体" w:hAnsi="宋体" w:eastAsia="宋体" w:cs="宋体"/>
          <w:color w:val="000000"/>
          <w:sz w:val="24"/>
          <w:highlight w:val="yellow"/>
        </w:rPr>
      </w:pPr>
      <w:r>
        <w:rPr>
          <w:rFonts w:hint="eastAsia" w:ascii="宋体" w:hAnsi="宋体" w:cs="宋体"/>
          <w:color w:val="000000"/>
          <w:sz w:val="24"/>
          <w:lang w:val="en-US" w:eastAsia="zh-CN"/>
        </w:rPr>
        <w:t>2</w:t>
      </w:r>
      <w:r>
        <w:rPr>
          <w:rFonts w:hint="eastAsia" w:ascii="宋体" w:hAnsi="宋体" w:eastAsia="宋体" w:cs="宋体"/>
          <w:color w:val="000000"/>
          <w:sz w:val="24"/>
        </w:rPr>
        <w:t>、乙方应当全程指导</w:t>
      </w:r>
      <w:r>
        <w:rPr>
          <w:rFonts w:hint="eastAsia" w:ascii="宋体" w:hAnsi="宋体" w:cs="宋体"/>
          <w:color w:val="000000"/>
          <w:sz w:val="24"/>
          <w:lang w:val="en-US" w:eastAsia="zh-CN"/>
        </w:rPr>
        <w:t>换证</w:t>
      </w:r>
      <w:r>
        <w:rPr>
          <w:rFonts w:hint="eastAsia" w:ascii="宋体" w:hAnsi="宋体" w:eastAsia="宋体" w:cs="宋体"/>
          <w:color w:val="000000"/>
          <w:sz w:val="24"/>
        </w:rPr>
        <w:t>工作，</w:t>
      </w:r>
      <w:r>
        <w:rPr>
          <w:rFonts w:hint="eastAsia" w:ascii="宋体" w:hAnsi="宋体" w:cs="宋体"/>
          <w:color w:val="000000"/>
          <w:sz w:val="24"/>
        </w:rPr>
        <w:t>及时向甲方发表顾问意见</w:t>
      </w:r>
      <w:r>
        <w:rPr>
          <w:rFonts w:hint="eastAsia" w:ascii="宋体" w:hAnsi="宋体" w:cs="宋体"/>
          <w:color w:val="000000"/>
          <w:sz w:val="24"/>
          <w:lang w:eastAsia="zh-CN"/>
        </w:rPr>
        <w:t>，</w:t>
      </w:r>
      <w:r>
        <w:rPr>
          <w:rFonts w:hint="eastAsia" w:ascii="宋体" w:hAnsi="宋体" w:eastAsia="宋体" w:cs="宋体"/>
          <w:color w:val="000000"/>
          <w:sz w:val="24"/>
        </w:rPr>
        <w:t>指派专人负责编制申报材料。申报材料提交后，乙方应当积极跟进；乙方在获得甲方尚未知悉的重要进展信息后，应当及时通知甲方。</w:t>
      </w:r>
    </w:p>
    <w:p w14:paraId="3B9F935E">
      <w:pPr>
        <w:pStyle w:val="44"/>
        <w:keepNext w:val="0"/>
        <w:keepLines w:val="0"/>
        <w:pageBreakBefore w:val="0"/>
        <w:widowControl w:val="0"/>
        <w:kinsoku/>
        <w:wordWrap/>
        <w:overflowPunct/>
        <w:topLinePunct w:val="0"/>
        <w:autoSpaceDE/>
        <w:autoSpaceDN/>
        <w:bidi w:val="0"/>
        <w:adjustRightInd/>
        <w:snapToGrid/>
        <w:spacing w:line="500" w:lineRule="atLeast"/>
        <w:ind w:firstLine="480"/>
        <w:textAlignment w:val="auto"/>
        <w:rPr>
          <w:rFonts w:hint="eastAsia" w:ascii="宋体" w:hAnsi="宋体" w:eastAsia="宋体" w:cs="宋体"/>
          <w:color w:val="000000"/>
          <w:sz w:val="24"/>
        </w:rPr>
      </w:pPr>
      <w:r>
        <w:rPr>
          <w:rFonts w:hint="eastAsia" w:ascii="宋体" w:hAnsi="宋体" w:cs="宋体"/>
          <w:color w:val="000000"/>
          <w:sz w:val="24"/>
          <w:lang w:val="en-US" w:eastAsia="zh-CN"/>
        </w:rPr>
        <w:t>3</w:t>
      </w:r>
      <w:r>
        <w:rPr>
          <w:rFonts w:hint="eastAsia" w:ascii="宋体" w:hAnsi="宋体" w:eastAsia="宋体" w:cs="宋体"/>
          <w:color w:val="000000"/>
          <w:sz w:val="24"/>
        </w:rPr>
        <w:t>、在合同履行过程中，乙方对甲方提供的资料负有保密义务，不得挪作他用</w:t>
      </w:r>
      <w:r>
        <w:rPr>
          <w:rFonts w:hint="eastAsia" w:ascii="宋体" w:hAnsi="宋体" w:cs="宋体"/>
          <w:color w:val="000000"/>
          <w:sz w:val="24"/>
        </w:rPr>
        <w:t>向第三方提供（或披露）甲方提交乙方使用的材料与文件</w:t>
      </w:r>
      <w:r>
        <w:rPr>
          <w:rFonts w:hint="eastAsia" w:ascii="宋体" w:hAnsi="宋体" w:eastAsia="宋体" w:cs="宋体"/>
          <w:color w:val="000000"/>
          <w:sz w:val="24"/>
        </w:rPr>
        <w:t>，否则甲方有权追究乙方的责任。</w:t>
      </w:r>
    </w:p>
    <w:p w14:paraId="5F41F96E">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4、如</w:t>
      </w:r>
      <w:r>
        <w:rPr>
          <w:rFonts w:hint="eastAsia" w:ascii="宋体" w:hAnsi="宋体" w:cs="宋体"/>
          <w:color w:val="000000"/>
          <w:sz w:val="24"/>
          <w:highlight w:val="none"/>
          <w:lang w:val="en-US" w:eastAsia="zh-CN"/>
        </w:rPr>
        <w:t>资质申报需要企业提供机械设备相关证明资料，乙方负责处理此项资料。</w:t>
      </w:r>
    </w:p>
    <w:p w14:paraId="1D7B306C">
      <w:pPr>
        <w:pStyle w:val="44"/>
        <w:keepNext w:val="0"/>
        <w:keepLines w:val="0"/>
        <w:pageBreakBefore w:val="0"/>
        <w:widowControl w:val="0"/>
        <w:kinsoku/>
        <w:wordWrap/>
        <w:overflowPunct/>
        <w:topLinePunct w:val="0"/>
        <w:autoSpaceDE/>
        <w:autoSpaceDN/>
        <w:bidi w:val="0"/>
        <w:adjustRightInd/>
        <w:snapToGrid/>
        <w:spacing w:line="500" w:lineRule="atLeast"/>
        <w:ind w:firstLine="480"/>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kern w:val="2"/>
          <w:sz w:val="24"/>
          <w:highlight w:val="none"/>
          <w:lang w:val="en-US" w:eastAsia="zh-CN" w:bidi="ar-SA"/>
        </w:rPr>
        <w:t>5、乙方负责与相关主管部门的沟通、协调工作，负责处理应急问题，制定补救措施，提供解决方案。</w:t>
      </w:r>
    </w:p>
    <w:p w14:paraId="57049AD3">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第</w:t>
      </w:r>
      <w:r>
        <w:rPr>
          <w:rFonts w:hint="eastAsia" w:ascii="宋体" w:hAnsi="宋体" w:cs="宋体"/>
          <w:b/>
          <w:bCs/>
          <w:color w:val="000000"/>
          <w:sz w:val="28"/>
          <w:szCs w:val="28"/>
          <w:lang w:val="en-US" w:eastAsia="zh-CN"/>
        </w:rPr>
        <w:t>六</w:t>
      </w:r>
      <w:r>
        <w:rPr>
          <w:rFonts w:hint="eastAsia" w:ascii="宋体" w:hAnsi="宋体" w:eastAsia="宋体" w:cs="宋体"/>
          <w:b/>
          <w:bCs/>
          <w:color w:val="000000"/>
          <w:sz w:val="28"/>
          <w:szCs w:val="28"/>
        </w:rPr>
        <w:t>条</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违约责任</w:t>
      </w:r>
      <w:bookmarkStart w:id="5" w:name="_GoBack"/>
      <w:bookmarkEnd w:id="5"/>
    </w:p>
    <w:p w14:paraId="1758F06B">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sz w:val="24"/>
        </w:rPr>
      </w:pPr>
      <w:r>
        <w:rPr>
          <w:rFonts w:hint="eastAsia" w:ascii="宋体" w:hAnsi="宋体" w:eastAsia="宋体" w:cs="宋体"/>
          <w:sz w:val="24"/>
        </w:rPr>
        <w:t>1、本合同生效后，如乙方无重大违约，甲方有下列行为的，视为乙方已全部履行本合同义务，甲方应按本合同约定支付全部费用：</w:t>
      </w:r>
    </w:p>
    <w:p w14:paraId="5D0F3204">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sz w:val="24"/>
        </w:rPr>
      </w:pPr>
      <w:r>
        <w:rPr>
          <w:rFonts w:hint="eastAsia" w:ascii="宋体" w:hAnsi="宋体" w:eastAsia="宋体" w:cs="宋体"/>
          <w:sz w:val="24"/>
        </w:rPr>
        <w:t>（1）甲方单方明确表示或者以自己的行为表明不履行义务的；</w:t>
      </w:r>
    </w:p>
    <w:p w14:paraId="7267FE34">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sz w:val="24"/>
        </w:rPr>
      </w:pPr>
      <w:r>
        <w:rPr>
          <w:rFonts w:hint="eastAsia" w:ascii="宋体" w:hAnsi="宋体" w:eastAsia="宋体" w:cs="宋体"/>
          <w:sz w:val="24"/>
        </w:rPr>
        <w:t>（2）甲方的原因（包括但不限于拒不配合提供相关资料、提供虚假等不符合要求的申报资料、逾期不支付合同款）导致本合同约定的委托事项办理期限已届满仍未完成办理的，经乙方2次</w:t>
      </w:r>
      <w:r>
        <w:rPr>
          <w:rFonts w:hint="eastAsia" w:ascii="宋体" w:hAnsi="宋体" w:eastAsia="宋体" w:cs="宋体"/>
          <w:sz w:val="24"/>
          <w:lang w:val="en-US" w:eastAsia="zh-CN"/>
        </w:rPr>
        <w:t>书面</w:t>
      </w:r>
      <w:r>
        <w:rPr>
          <w:rFonts w:hint="eastAsia" w:ascii="宋体" w:hAnsi="宋体" w:eastAsia="宋体" w:cs="宋体"/>
          <w:sz w:val="24"/>
        </w:rPr>
        <w:t>催告仍不配合改正的。</w:t>
      </w:r>
    </w:p>
    <w:p w14:paraId="58E762EA">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sz w:val="24"/>
        </w:rPr>
      </w:pPr>
      <w:r>
        <w:rPr>
          <w:rFonts w:hint="eastAsia" w:ascii="宋体" w:hAnsi="宋体" w:eastAsia="宋体" w:cs="宋体"/>
          <w:sz w:val="24"/>
        </w:rPr>
        <w:t>2、本合同生效后，如甲方无重大违约，乙方有下列行为的，甲方有权解除本合同，并要求乙方退还已支付的</w:t>
      </w:r>
      <w:r>
        <w:rPr>
          <w:rFonts w:hint="eastAsia" w:ascii="宋体" w:hAnsi="宋体" w:cs="宋体"/>
          <w:sz w:val="24"/>
          <w:lang w:eastAsia="zh-CN"/>
        </w:rPr>
        <w:t>咨询服务费</w:t>
      </w:r>
      <w:r>
        <w:rPr>
          <w:rFonts w:hint="eastAsia" w:ascii="宋体" w:hAnsi="宋体" w:eastAsia="宋体" w:cs="宋体"/>
          <w:sz w:val="24"/>
        </w:rPr>
        <w:t>用：</w:t>
      </w:r>
    </w:p>
    <w:p w14:paraId="248C8754">
      <w:pPr>
        <w:keepNext w:val="0"/>
        <w:keepLines w:val="0"/>
        <w:pageBreakBefore w:val="0"/>
        <w:widowControl w:val="0"/>
        <w:kinsoku/>
        <w:wordWrap/>
        <w:overflowPunct/>
        <w:topLinePunct w:val="0"/>
        <w:autoSpaceDE/>
        <w:autoSpaceDN/>
        <w:bidi w:val="0"/>
        <w:adjustRightInd/>
        <w:snapToGrid/>
        <w:spacing w:line="500" w:lineRule="atLeas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color w:val="auto"/>
          <w:sz w:val="24"/>
        </w:rPr>
        <w:t>乙方单方面表示并以书面</w:t>
      </w:r>
      <w:r>
        <w:rPr>
          <w:rFonts w:hint="eastAsia" w:ascii="宋体" w:hAnsi="宋体" w:eastAsia="宋体" w:cs="宋体"/>
          <w:color w:val="auto"/>
          <w:sz w:val="24"/>
          <w:lang w:val="en-US" w:eastAsia="zh-CN"/>
        </w:rPr>
        <w:t>形式</w:t>
      </w:r>
      <w:r>
        <w:rPr>
          <w:rFonts w:hint="eastAsia" w:ascii="宋体" w:hAnsi="宋体" w:eastAsia="宋体" w:cs="宋体"/>
          <w:color w:val="auto"/>
          <w:sz w:val="24"/>
        </w:rPr>
        <w:t>明确表明不履行义务的；</w:t>
      </w:r>
    </w:p>
    <w:p w14:paraId="16418A8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000000"/>
          <w:sz w:val="24"/>
          <w:lang w:val="en-US" w:eastAsia="zh-CN"/>
        </w:rPr>
      </w:pPr>
      <w:r>
        <w:rPr>
          <w:rFonts w:hint="eastAsia" w:ascii="宋体" w:hAnsi="宋体" w:eastAsia="宋体" w:cs="宋体"/>
          <w:color w:val="000000"/>
          <w:sz w:val="24"/>
        </w:rPr>
        <w:t>（2）乙方单方原因，逾期未能完成本合同委托事宜的，经甲方书面催告并给予合理宽限期后仍未能完成办理的。</w:t>
      </w:r>
    </w:p>
    <w:p w14:paraId="4FADAA58">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第</w:t>
      </w:r>
      <w:r>
        <w:rPr>
          <w:rFonts w:hint="eastAsia" w:ascii="宋体" w:hAnsi="宋体" w:cs="宋体"/>
          <w:b/>
          <w:bCs/>
          <w:color w:val="000000"/>
          <w:sz w:val="28"/>
          <w:szCs w:val="28"/>
          <w:lang w:val="en-US" w:eastAsia="zh-CN"/>
        </w:rPr>
        <w:t>七</w:t>
      </w:r>
      <w:r>
        <w:rPr>
          <w:rFonts w:hint="eastAsia" w:ascii="宋体" w:hAnsi="宋体" w:eastAsia="宋体" w:cs="宋体"/>
          <w:b/>
          <w:bCs/>
          <w:color w:val="000000"/>
          <w:sz w:val="28"/>
          <w:szCs w:val="28"/>
        </w:rPr>
        <w:t>条</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保密义务</w:t>
      </w:r>
    </w:p>
    <w:p w14:paraId="2336413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双方应保证对本合同的所有相关内容及其在本合同订立前和本合同期限内所获知的对方及对方客户的保密信息（包括但不限于生产、经营、管理、科研、技术、营销、发展规划等）负有保密义务，未经权利方事前书面许可，不得将上述信息用于本合同目的之外；除为履行其职责而确有必要知悉保密资料的本方工作人员外，双方不向其他任何第三方披露上述信息，且双方应确保上述人员承担与本合同约定同等严格的保密义务。保密义务不因本协议的终止或解除而终止，而应延续至所有的信息可以由公众从公开渠道正常获得为止。</w:t>
      </w:r>
    </w:p>
    <w:p w14:paraId="66D72829">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第</w:t>
      </w:r>
      <w:r>
        <w:rPr>
          <w:rFonts w:hint="eastAsia" w:ascii="宋体" w:hAnsi="宋体" w:cs="宋体"/>
          <w:b/>
          <w:bCs/>
          <w:color w:val="000000"/>
          <w:sz w:val="28"/>
          <w:szCs w:val="28"/>
          <w:lang w:val="en-US" w:eastAsia="zh-CN"/>
        </w:rPr>
        <w:t>八</w:t>
      </w:r>
      <w:r>
        <w:rPr>
          <w:rFonts w:hint="eastAsia" w:ascii="宋体" w:hAnsi="宋体" w:eastAsia="宋体" w:cs="宋体"/>
          <w:b/>
          <w:bCs/>
          <w:color w:val="000000"/>
          <w:sz w:val="28"/>
          <w:szCs w:val="28"/>
        </w:rPr>
        <w:t>条</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不可抗力条款</w:t>
      </w:r>
    </w:p>
    <w:p w14:paraId="4DD140EC">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bCs/>
          <w:color w:val="000000"/>
          <w:sz w:val="24"/>
        </w:rPr>
      </w:pPr>
      <w:r>
        <w:rPr>
          <w:rFonts w:hint="eastAsia" w:ascii="宋体" w:hAnsi="宋体" w:eastAsia="宋体" w:cs="宋体"/>
          <w:color w:val="000000"/>
          <w:sz w:val="24"/>
        </w:rPr>
        <w:t>1、若因国家政策及法律法规变动、政府部门政策文件的变动</w:t>
      </w:r>
      <w:r>
        <w:rPr>
          <w:rFonts w:hint="eastAsia" w:ascii="宋体" w:hAnsi="宋体" w:cs="宋体"/>
          <w:color w:val="000000"/>
          <w:sz w:val="24"/>
          <w:lang w:eastAsia="zh-CN"/>
        </w:rPr>
        <w:t>、</w:t>
      </w:r>
      <w:r>
        <w:rPr>
          <w:rFonts w:hint="eastAsia" w:ascii="宋体" w:hAnsi="宋体" w:cs="宋体"/>
          <w:color w:val="000000"/>
          <w:sz w:val="24"/>
          <w:lang w:val="en-US" w:eastAsia="zh-CN"/>
        </w:rPr>
        <w:t>不可抗力</w:t>
      </w:r>
      <w:r>
        <w:rPr>
          <w:rFonts w:hint="eastAsia" w:ascii="宋体" w:hAnsi="宋体" w:eastAsia="宋体" w:cs="宋体"/>
          <w:color w:val="000000"/>
          <w:sz w:val="24"/>
        </w:rPr>
        <w:t>因素影响资质办理时间或审核不通过，</w:t>
      </w:r>
      <w:r>
        <w:rPr>
          <w:rFonts w:hint="eastAsia" w:ascii="宋体" w:hAnsi="宋体" w:cs="宋体"/>
          <w:color w:val="000000"/>
          <w:sz w:val="24"/>
          <w:lang w:val="en-US" w:eastAsia="zh-CN"/>
        </w:rPr>
        <w:t>乙方必须第一时间获取相关信息并与甲方协商解决方案，甲方已支付的咨询服务费用乙方应退回甲方</w:t>
      </w:r>
      <w:r>
        <w:rPr>
          <w:rFonts w:hint="eastAsia" w:ascii="宋体" w:hAnsi="宋体" w:eastAsia="宋体" w:cs="宋体"/>
          <w:color w:val="000000"/>
          <w:sz w:val="24"/>
        </w:rPr>
        <w:t>。</w:t>
      </w:r>
    </w:p>
    <w:p w14:paraId="103D623E">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000000"/>
          <w:sz w:val="24"/>
        </w:rPr>
      </w:pPr>
      <w:r>
        <w:rPr>
          <w:rFonts w:hint="eastAsia" w:ascii="宋体" w:hAnsi="宋体" w:eastAsia="宋体" w:cs="宋体"/>
          <w:color w:val="000000"/>
          <w:sz w:val="24"/>
        </w:rPr>
        <w:t>2、本条所称“不可抗力”是指</w:t>
      </w:r>
      <w:r>
        <w:rPr>
          <w:rFonts w:hint="eastAsia" w:ascii="宋体" w:hAnsi="宋体" w:cs="宋体"/>
          <w:color w:val="000000"/>
          <w:sz w:val="24"/>
        </w:rPr>
        <w:t>本合同双方</w:t>
      </w:r>
      <w:r>
        <w:rPr>
          <w:rFonts w:hint="eastAsia" w:ascii="宋体" w:hAnsi="宋体" w:eastAsia="宋体" w:cs="宋体"/>
          <w:color w:val="000000"/>
          <w:sz w:val="24"/>
        </w:rPr>
        <w:t>不能预见、不能避免并不能克服的</w:t>
      </w:r>
      <w:r>
        <w:rPr>
          <w:rFonts w:hint="eastAsia" w:ascii="宋体" w:hAnsi="宋体" w:cs="宋体"/>
          <w:color w:val="000000"/>
          <w:sz w:val="24"/>
        </w:rPr>
        <w:t>事件，该事件妨碍、影响或延误任何一方根据本合同履行其全部或部分义务。该事件包括但不限于自然灾害、战争、火灾、暴动、政府行为、疫情或任何其它类似的且依据商业惯例被视为不可抗力的事件。</w:t>
      </w:r>
    </w:p>
    <w:p w14:paraId="079E79CE">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000000"/>
          <w:sz w:val="24"/>
        </w:rPr>
      </w:pPr>
      <w:r>
        <w:rPr>
          <w:rFonts w:hint="eastAsia" w:ascii="宋体" w:hAnsi="宋体" w:eastAsia="宋体" w:cs="宋体"/>
          <w:color w:val="000000"/>
          <w:sz w:val="24"/>
        </w:rPr>
        <w:t>出现</w:t>
      </w:r>
      <w:r>
        <w:rPr>
          <w:rFonts w:hint="eastAsia" w:ascii="宋体" w:hAnsi="宋体" w:cs="宋体"/>
          <w:color w:val="000000"/>
          <w:sz w:val="24"/>
          <w:lang w:val="en-US" w:eastAsia="zh-CN"/>
        </w:rPr>
        <w:t>不可抗力</w:t>
      </w:r>
      <w:r>
        <w:rPr>
          <w:rFonts w:hint="eastAsia" w:ascii="宋体" w:hAnsi="宋体" w:eastAsia="宋体" w:cs="宋体"/>
          <w:color w:val="000000"/>
          <w:sz w:val="24"/>
        </w:rPr>
        <w:t>情形的一方，应立即采取补救措施并在前述情形发生之日起</w:t>
      </w:r>
      <w:r>
        <w:rPr>
          <w:rFonts w:hint="eastAsia" w:ascii="宋体" w:hAnsi="宋体" w:cs="宋体"/>
          <w:color w:val="000000"/>
          <w:sz w:val="24"/>
          <w:lang w:val="en-US" w:eastAsia="zh-CN"/>
        </w:rPr>
        <w:t>5</w:t>
      </w:r>
      <w:r>
        <w:rPr>
          <w:rFonts w:hint="eastAsia" w:ascii="宋体" w:hAnsi="宋体" w:eastAsia="宋体" w:cs="宋体"/>
          <w:color w:val="000000"/>
          <w:sz w:val="24"/>
        </w:rPr>
        <w:t>日内向其他方发出书面通知，如存在通知困难的，应在困难消除或情形结束后的2日内进行书面通知。</w:t>
      </w:r>
    </w:p>
    <w:p w14:paraId="1E12F167">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第</w:t>
      </w:r>
      <w:r>
        <w:rPr>
          <w:rFonts w:hint="eastAsia" w:ascii="宋体" w:hAnsi="宋体" w:cs="宋体"/>
          <w:b/>
          <w:bCs/>
          <w:color w:val="000000"/>
          <w:sz w:val="28"/>
          <w:szCs w:val="28"/>
          <w:lang w:val="en-US" w:eastAsia="zh-CN"/>
        </w:rPr>
        <w:t>九</w:t>
      </w:r>
      <w:r>
        <w:rPr>
          <w:rFonts w:hint="eastAsia" w:ascii="宋体" w:hAnsi="宋体" w:eastAsia="宋体" w:cs="宋体"/>
          <w:b/>
          <w:bCs/>
          <w:color w:val="000000"/>
          <w:sz w:val="28"/>
          <w:szCs w:val="28"/>
        </w:rPr>
        <w:t>条</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法律适用与争议解决</w:t>
      </w:r>
    </w:p>
    <w:p w14:paraId="05DB113B">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000000"/>
          <w:sz w:val="24"/>
        </w:rPr>
      </w:pPr>
      <w:r>
        <w:rPr>
          <w:rFonts w:hint="eastAsia" w:ascii="宋体" w:hAnsi="宋体" w:eastAsia="宋体" w:cs="宋体"/>
          <w:color w:val="000000"/>
          <w:sz w:val="24"/>
        </w:rPr>
        <w:t>1、本合同的订立、效力、解释、履行和争议的解决均适用中华人民共和国法律。</w:t>
      </w:r>
    </w:p>
    <w:p w14:paraId="445E686A">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000000"/>
          <w:sz w:val="24"/>
        </w:rPr>
      </w:pPr>
      <w:r>
        <w:rPr>
          <w:rFonts w:hint="eastAsia" w:ascii="宋体" w:hAnsi="宋体" w:eastAsia="宋体" w:cs="宋体"/>
          <w:color w:val="000000"/>
          <w:sz w:val="24"/>
        </w:rPr>
        <w:t>2、关于因本合同引起的、以及与本合同相关的一切纠纷，应友好协商解决；协商不成的，任何一方均可向</w:t>
      </w:r>
      <w:r>
        <w:rPr>
          <w:rFonts w:hint="eastAsia" w:ascii="宋体" w:hAnsi="宋体" w:eastAsia="宋体" w:cs="宋体"/>
          <w:color w:val="000000"/>
          <w:sz w:val="24"/>
          <w:lang w:val="en-US" w:eastAsia="zh-CN"/>
        </w:rPr>
        <w:t>原告方</w:t>
      </w:r>
      <w:r>
        <w:rPr>
          <w:rFonts w:hint="eastAsia" w:ascii="宋体" w:hAnsi="宋体" w:eastAsia="宋体" w:cs="宋体"/>
          <w:color w:val="000000"/>
          <w:sz w:val="24"/>
        </w:rPr>
        <w:t>所在地人民法院提起诉讼。</w:t>
      </w:r>
    </w:p>
    <w:p w14:paraId="40B504CB">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000000"/>
          <w:sz w:val="24"/>
        </w:rPr>
      </w:pPr>
      <w:r>
        <w:rPr>
          <w:rFonts w:hint="eastAsia" w:ascii="宋体" w:hAnsi="宋体" w:eastAsia="宋体" w:cs="宋体"/>
          <w:color w:val="000000"/>
          <w:sz w:val="24"/>
          <w:lang w:val="en-US" w:eastAsia="zh-CN"/>
        </w:rPr>
        <w:t>3、对于任何一方出现本合同约定的违约情形，守约方通过诉讼或仲裁途径追究违约方违约责任的，违约方还应承担由此产生的包括但不限于诉讼（仲裁）费、律师费（律师费按《广东省律师服务收费标准》计算）、交通费、差旅费、保全费、保全担保费、执行费等费用。</w:t>
      </w:r>
    </w:p>
    <w:p w14:paraId="651F3D6F">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第</w:t>
      </w:r>
      <w:r>
        <w:rPr>
          <w:rFonts w:hint="eastAsia" w:ascii="宋体" w:hAnsi="宋体" w:cs="宋体"/>
          <w:b/>
          <w:bCs/>
          <w:color w:val="000000"/>
          <w:sz w:val="28"/>
          <w:szCs w:val="28"/>
          <w:lang w:val="en-US" w:eastAsia="zh-CN"/>
        </w:rPr>
        <w:t>十</w:t>
      </w:r>
      <w:r>
        <w:rPr>
          <w:rFonts w:hint="eastAsia" w:ascii="宋体" w:hAnsi="宋体" w:eastAsia="宋体" w:cs="宋体"/>
          <w:b/>
          <w:bCs/>
          <w:color w:val="000000"/>
          <w:sz w:val="28"/>
          <w:szCs w:val="28"/>
        </w:rPr>
        <w:t>条</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联系及送达</w:t>
      </w:r>
    </w:p>
    <w:p w14:paraId="592E4C2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1、为便于合同履行，双方授权各自指定事项负责人（</w:t>
      </w:r>
      <w:r>
        <w:rPr>
          <w:rFonts w:hint="eastAsia" w:ascii="宋体" w:hAnsi="宋体" w:eastAsia="宋体" w:cs="宋体"/>
          <w:color w:val="000000"/>
          <w:sz w:val="24"/>
          <w:lang w:val="en-US" w:eastAsia="zh-CN"/>
        </w:rPr>
        <w:t>附授权委托书</w:t>
      </w:r>
      <w:r>
        <w:rPr>
          <w:rFonts w:hint="eastAsia" w:ascii="宋体" w:hAnsi="宋体" w:eastAsia="宋体" w:cs="宋体"/>
          <w:color w:val="000000"/>
          <w:sz w:val="24"/>
        </w:rPr>
        <w:t>）作为本合同项目中各自的联系人，处理各自在本合同下的事宜，包括进行协商、签收资料、向对方作出同意、确认或认可的意思表示等。若指定人员发生变动，应在第一时间内书面通知对方；对方在收到变动方通知前，有权拒绝变动方其他人员代为做出的意思表示。</w:t>
      </w:r>
    </w:p>
    <w:p w14:paraId="06C67A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sz w:val="24"/>
          <w:highlight w:val="yellow"/>
        </w:rPr>
      </w:pPr>
      <w:r>
        <w:rPr>
          <w:rFonts w:hint="eastAsia" w:ascii="宋体" w:hAnsi="宋体" w:eastAsia="宋体" w:cs="宋体"/>
          <w:color w:val="000000"/>
          <w:sz w:val="24"/>
        </w:rPr>
        <w:t>2、双方保证本合同所记载联系方式（包括联系电话、通讯地址、联系电话所关联</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微信号等）的有效性，双方同意将包括但不限于官方文书、函件通知、法院诉讼文书等文件发送至上述通讯地址。以邮寄形式送达的，自签收之日起视为送达或以被退回/被拒收之日视为送达；以电子数据形式送达的，以电子数据发送之日视为送达之日。</w:t>
      </w:r>
    </w:p>
    <w:p w14:paraId="108ACA76">
      <w:pPr>
        <w:keepNext w:val="0"/>
        <w:keepLines w:val="0"/>
        <w:pageBreakBefore w:val="0"/>
        <w:widowControl w:val="0"/>
        <w:kinsoku/>
        <w:wordWrap/>
        <w:overflowPunct/>
        <w:topLinePunct w:val="0"/>
        <w:autoSpaceDE/>
        <w:autoSpaceDN/>
        <w:bidi w:val="0"/>
        <w:adjustRightInd/>
        <w:snapToGrid/>
        <w:spacing w:line="120" w:lineRule="auto"/>
        <w:textAlignment w:val="auto"/>
        <w:rPr>
          <w:rFonts w:ascii="宋体" w:hAnsi="宋体" w:eastAsia="宋体" w:cs="宋体"/>
          <w:b/>
          <w:bCs/>
          <w:color w:val="auto"/>
          <w:sz w:val="28"/>
          <w:szCs w:val="28"/>
        </w:rPr>
      </w:pPr>
      <w:r>
        <w:rPr>
          <w:rFonts w:hint="eastAsia" w:ascii="宋体" w:hAnsi="宋体" w:eastAsia="宋体" w:cs="宋体"/>
          <w:b/>
          <w:bCs/>
          <w:color w:val="auto"/>
          <w:sz w:val="28"/>
          <w:szCs w:val="28"/>
        </w:rPr>
        <w:t>第十</w:t>
      </w:r>
      <w:r>
        <w:rPr>
          <w:rFonts w:hint="eastAsia" w:ascii="宋体" w:hAnsi="宋体" w:cs="宋体"/>
          <w:b/>
          <w:bCs/>
          <w:color w:val="auto"/>
          <w:sz w:val="28"/>
          <w:szCs w:val="28"/>
          <w:lang w:val="en-US" w:eastAsia="zh-CN"/>
        </w:rPr>
        <w:t>一</w:t>
      </w:r>
      <w:r>
        <w:rPr>
          <w:rFonts w:hint="eastAsia" w:ascii="宋体" w:hAnsi="宋体" w:eastAsia="宋体" w:cs="宋体"/>
          <w:b/>
          <w:bCs/>
          <w:color w:val="auto"/>
          <w:sz w:val="28"/>
          <w:szCs w:val="28"/>
        </w:rPr>
        <w:t>条</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其他</w:t>
      </w:r>
    </w:p>
    <w:p w14:paraId="47322EE8">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z w:val="24"/>
        </w:rPr>
      </w:pPr>
      <w:r>
        <w:rPr>
          <w:rFonts w:hint="eastAsia" w:ascii="宋体" w:hAnsi="宋体" w:eastAsia="宋体" w:cs="宋体"/>
          <w:color w:val="auto"/>
          <w:sz w:val="24"/>
        </w:rPr>
        <w:t>1、本合同经甲乙双方盖章或其授权代表签字之日起生效。本合同一式</w:t>
      </w:r>
      <w:r>
        <w:rPr>
          <w:rFonts w:hint="eastAsia" w:ascii="宋体" w:hAnsi="宋体" w:eastAsia="宋体" w:cs="宋体"/>
          <w:color w:val="auto"/>
          <w:sz w:val="24"/>
          <w:lang w:val="en-US" w:eastAsia="zh-CN"/>
        </w:rPr>
        <w:t>贰</w:t>
      </w:r>
      <w:r>
        <w:rPr>
          <w:rFonts w:hint="eastAsia" w:ascii="宋体" w:hAnsi="宋体" w:eastAsia="宋体" w:cs="宋体"/>
          <w:color w:val="auto"/>
          <w:sz w:val="24"/>
        </w:rPr>
        <w:t>份，甲乙双方各</w:t>
      </w:r>
      <w:r>
        <w:rPr>
          <w:rFonts w:hint="eastAsia" w:ascii="宋体" w:hAnsi="宋体" w:eastAsia="宋体" w:cs="宋体"/>
          <w:color w:val="auto"/>
          <w:sz w:val="24"/>
          <w:lang w:val="en-US" w:eastAsia="zh-CN"/>
        </w:rPr>
        <w:t>执壹份</w:t>
      </w:r>
      <w:r>
        <w:rPr>
          <w:rFonts w:hint="eastAsia" w:ascii="宋体" w:hAnsi="宋体" w:eastAsia="宋体" w:cs="宋体"/>
          <w:color w:val="auto"/>
          <w:sz w:val="24"/>
        </w:rPr>
        <w:t>，具有同等法律效力。</w:t>
      </w:r>
    </w:p>
    <w:p w14:paraId="75C04A6F">
      <w:pPr>
        <w:pStyle w:val="44"/>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z w:val="24"/>
          <w:lang w:val="en-US" w:eastAsia="zh-CN"/>
        </w:rPr>
      </w:pPr>
      <w:r>
        <w:rPr>
          <w:rFonts w:hint="eastAsia" w:ascii="宋体" w:hAnsi="宋体" w:cs="宋体"/>
          <w:color w:val="auto"/>
          <w:sz w:val="24"/>
          <w:lang w:val="en-US" w:eastAsia="zh-CN"/>
        </w:rPr>
        <w:t>2、</w:t>
      </w:r>
      <w:r>
        <w:rPr>
          <w:rFonts w:hint="eastAsia" w:ascii="宋体" w:hAnsi="宋体" w:cs="宋体"/>
          <w:color w:val="auto"/>
          <w:sz w:val="24"/>
        </w:rPr>
        <w:t>本</w:t>
      </w:r>
      <w:r>
        <w:rPr>
          <w:rFonts w:hint="eastAsia" w:ascii="宋体" w:hAnsi="宋体" w:cs="宋体"/>
          <w:color w:val="auto"/>
          <w:sz w:val="24"/>
          <w:lang w:val="en-US" w:eastAsia="zh-CN"/>
        </w:rPr>
        <w:t>合同</w:t>
      </w:r>
      <w:r>
        <w:rPr>
          <w:rFonts w:hint="eastAsia" w:ascii="宋体" w:hAnsi="宋体" w:cs="宋体"/>
          <w:color w:val="auto"/>
          <w:sz w:val="24"/>
        </w:rPr>
        <w:t>未尽事宜，双方可另行协商签订补充协议，补充协议与本</w:t>
      </w:r>
      <w:r>
        <w:rPr>
          <w:rFonts w:hint="eastAsia" w:ascii="宋体" w:hAnsi="宋体" w:cs="宋体"/>
          <w:color w:val="auto"/>
          <w:sz w:val="24"/>
          <w:lang w:val="en-US" w:eastAsia="zh-CN"/>
        </w:rPr>
        <w:t>合同</w:t>
      </w:r>
      <w:r>
        <w:rPr>
          <w:rFonts w:hint="eastAsia" w:ascii="宋体" w:hAnsi="宋体" w:cs="宋体"/>
          <w:color w:val="auto"/>
          <w:sz w:val="24"/>
        </w:rPr>
        <w:t>具有同等法律效力，补充协议与本合同条款冲突时，应以补充协议为准。</w:t>
      </w:r>
    </w:p>
    <w:p w14:paraId="4137BDD2">
      <w:pPr>
        <w:keepNext w:val="0"/>
        <w:keepLines w:val="0"/>
        <w:pageBreakBefore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p>
    <w:p w14:paraId="3D067A8F">
      <w:pPr>
        <w:pStyle w:val="2"/>
        <w:rPr>
          <w:rFonts w:hint="eastAsia" w:asciiTheme="minorEastAsia" w:hAnsiTheme="minorEastAsia" w:eastAsiaTheme="minorEastAsia" w:cstheme="minorEastAsia"/>
          <w:lang w:val="en-US" w:eastAsia="zh-CN"/>
        </w:rPr>
      </w:pPr>
      <w:r>
        <w:rPr>
          <w:rFonts w:hint="eastAsia"/>
          <w:lang w:val="en-US" w:eastAsia="zh-CN"/>
        </w:rPr>
        <w:t>附件：</w:t>
      </w:r>
      <w:r>
        <w:rPr>
          <w:rFonts w:hint="eastAsia" w:asciiTheme="minorEastAsia" w:hAnsiTheme="minorEastAsia" w:eastAsiaTheme="minorEastAsia" w:cstheme="minorEastAsia"/>
          <w:lang w:val="en-US" w:eastAsia="zh-CN"/>
        </w:rPr>
        <w:t>1、阳光合作协议</w:t>
      </w:r>
    </w:p>
    <w:p w14:paraId="3C31D12F">
      <w:pPr>
        <w:pStyle w:val="2"/>
        <w:ind w:firstLine="720" w:firstLineChars="300"/>
        <w:rPr>
          <w:rFonts w:hint="eastAsia" w:ascii="宋体" w:hAnsi="宋体" w:eastAsia="宋体" w:cs="宋体"/>
          <w:color w:val="000000"/>
          <w:sz w:val="24"/>
          <w:lang w:val="en-US" w:eastAsia="zh-CN"/>
        </w:rPr>
      </w:pPr>
      <w:r>
        <w:rPr>
          <w:rFonts w:hint="eastAsia" w:asciiTheme="minorEastAsia" w:hAnsiTheme="minorEastAsia" w:eastAsiaTheme="minorEastAsia" w:cstheme="minorEastAsia"/>
          <w:lang w:val="en-US" w:eastAsia="zh-CN"/>
        </w:rPr>
        <w:t>2</w:t>
      </w:r>
      <w:r>
        <w:rPr>
          <w:rFonts w:hint="eastAsia"/>
          <w:lang w:val="en-US" w:eastAsia="zh-CN"/>
        </w:rPr>
        <w:t>、甲乙双方</w:t>
      </w:r>
      <w:r>
        <w:rPr>
          <w:rFonts w:hint="eastAsia" w:ascii="宋体" w:hAnsi="宋体" w:eastAsia="宋体" w:cs="宋体"/>
          <w:color w:val="000000"/>
          <w:sz w:val="24"/>
        </w:rPr>
        <w:t>事项负责人</w:t>
      </w:r>
      <w:r>
        <w:rPr>
          <w:rFonts w:hint="eastAsia" w:ascii="宋体" w:hAnsi="宋体" w:eastAsia="宋体" w:cs="宋体"/>
          <w:color w:val="000000"/>
          <w:sz w:val="24"/>
          <w:lang w:val="en-US" w:eastAsia="zh-CN"/>
        </w:rPr>
        <w:t>授权委托书</w:t>
      </w:r>
    </w:p>
    <w:p w14:paraId="18ADFA1F">
      <w:pPr>
        <w:pStyle w:val="2"/>
        <w:numPr>
          <w:ilvl w:val="0"/>
          <w:numId w:val="0"/>
        </w:numPr>
        <w:ind w:firstLine="720" w:firstLineChars="300"/>
        <w:rPr>
          <w:rFonts w:hint="eastAsia" w:ascii="宋体" w:hAnsi="宋体" w:cs="宋体"/>
          <w:color w:val="000000"/>
          <w:sz w:val="24"/>
          <w:lang w:val="en-US" w:eastAsia="zh-CN"/>
        </w:rPr>
      </w:pPr>
      <w:r>
        <w:rPr>
          <w:rFonts w:hint="eastAsia" w:ascii="宋体" w:hAnsi="宋体" w:cs="宋体"/>
          <w:color w:val="000000"/>
          <w:sz w:val="24"/>
          <w:lang w:val="en-US" w:eastAsia="zh-CN"/>
        </w:rPr>
        <w:t>3、采购需求书</w:t>
      </w:r>
    </w:p>
    <w:p w14:paraId="345A8C36">
      <w:pPr>
        <w:pStyle w:val="2"/>
        <w:numPr>
          <w:ilvl w:val="0"/>
          <w:numId w:val="0"/>
        </w:numPr>
        <w:ind w:firstLine="720" w:firstLineChars="300"/>
        <w:rPr>
          <w:rFonts w:hint="default" w:ascii="宋体" w:hAnsi="宋体" w:cs="宋体"/>
          <w:color w:val="000000"/>
          <w:sz w:val="24"/>
          <w:lang w:val="en-US" w:eastAsia="zh-CN"/>
        </w:rPr>
      </w:pPr>
      <w:r>
        <w:rPr>
          <w:rFonts w:hint="eastAsia" w:ascii="宋体" w:hAnsi="宋体" w:cs="宋体"/>
          <w:color w:val="000000"/>
          <w:sz w:val="24"/>
          <w:lang w:val="en-US" w:eastAsia="zh-CN"/>
        </w:rPr>
        <w:t>4、已标价工程量清单</w:t>
      </w:r>
    </w:p>
    <w:p w14:paraId="1D293EC6">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color w:val="000000"/>
          <w:sz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以下</w:t>
      </w:r>
      <w:r>
        <w:rPr>
          <w:rFonts w:hint="eastAsia" w:ascii="宋体" w:hAnsi="宋体" w:eastAsia="宋体" w:cs="宋体"/>
          <w:sz w:val="24"/>
          <w:szCs w:val="24"/>
        </w:rPr>
        <w:t>为签署页，无正文）</w:t>
      </w:r>
    </w:p>
    <w:p w14:paraId="2664A0EF">
      <w:pPr>
        <w:keepNext w:val="0"/>
        <w:keepLines w:val="0"/>
        <w:pageBreakBefore w:val="0"/>
        <w:kinsoku/>
        <w:wordWrap/>
        <w:overflowPunct/>
        <w:topLinePunct w:val="0"/>
        <w:autoSpaceDE/>
        <w:autoSpaceDN/>
        <w:bidi w:val="0"/>
        <w:adjustRightInd/>
        <w:snapToGrid/>
        <w:spacing w:line="360" w:lineRule="auto"/>
        <w:textAlignment w:val="auto"/>
        <w:rPr>
          <w:rFonts w:ascii="宋体" w:hAnsi="宋体"/>
          <w:color w:val="000000"/>
          <w:sz w:val="24"/>
        </w:rPr>
      </w:pPr>
    </w:p>
    <w:p w14:paraId="16E7B962">
      <w:pPr>
        <w:keepNext w:val="0"/>
        <w:keepLines w:val="0"/>
        <w:pageBreakBefore w:val="0"/>
        <w:kinsoku/>
        <w:wordWrap/>
        <w:overflowPunct/>
        <w:topLinePunct w:val="0"/>
        <w:autoSpaceDE/>
        <w:autoSpaceDN/>
        <w:bidi w:val="0"/>
        <w:adjustRightInd/>
        <w:snapToGrid/>
        <w:spacing w:line="480" w:lineRule="auto"/>
        <w:textAlignment w:val="auto"/>
        <w:rPr>
          <w:rFonts w:hint="eastAsia" w:ascii="宋体" w:hAnsi="宋体" w:eastAsia="宋体" w:cs="宋体"/>
          <w:b/>
          <w:sz w:val="24"/>
          <w:szCs w:val="24"/>
        </w:rPr>
      </w:pPr>
    </w:p>
    <w:p w14:paraId="7B77CECA">
      <w:pPr>
        <w:keepNext w:val="0"/>
        <w:keepLines w:val="0"/>
        <w:pageBreakBefore w:val="0"/>
        <w:kinsoku/>
        <w:wordWrap/>
        <w:overflowPunct/>
        <w:topLinePunct w:val="0"/>
        <w:autoSpaceDE/>
        <w:autoSpaceDN/>
        <w:bidi w:val="0"/>
        <w:adjustRightInd/>
        <w:snapToGrid/>
        <w:spacing w:line="480" w:lineRule="auto"/>
        <w:textAlignment w:val="auto"/>
        <w:rPr>
          <w:rFonts w:hint="eastAsia" w:ascii="宋体" w:hAnsi="宋体" w:eastAsia="宋体" w:cs="宋体"/>
          <w:b/>
          <w:sz w:val="24"/>
          <w:szCs w:val="24"/>
        </w:rPr>
      </w:pPr>
    </w:p>
    <w:p w14:paraId="7D8874C2">
      <w:pPr>
        <w:keepNext w:val="0"/>
        <w:keepLines w:val="0"/>
        <w:pageBreakBefore w:val="0"/>
        <w:kinsoku/>
        <w:wordWrap/>
        <w:overflowPunct/>
        <w:topLinePunct w:val="0"/>
        <w:autoSpaceDE/>
        <w:autoSpaceDN/>
        <w:bidi w:val="0"/>
        <w:adjustRightInd/>
        <w:snapToGrid/>
        <w:spacing w:before="156" w:beforeLines="50" w:after="156" w:afterLines="50" w:line="360" w:lineRule="auto"/>
        <w:contextualSpacing/>
        <w:textAlignment w:val="auto"/>
        <w:rPr>
          <w:rFonts w:hint="eastAsia" w:ascii="宋体" w:hAnsi="宋体" w:eastAsia="宋体" w:cs="宋体"/>
          <w:sz w:val="21"/>
          <w:szCs w:val="21"/>
        </w:rPr>
      </w:pPr>
      <w:r>
        <w:rPr>
          <w:rFonts w:hint="eastAsia" w:ascii="宋体" w:hAnsi="宋体" w:eastAsia="宋体" w:cs="宋体"/>
          <w:sz w:val="21"/>
          <w:szCs w:val="21"/>
        </w:rPr>
        <w:t>甲方（盖章）：</w:t>
      </w:r>
      <w:r>
        <w:rPr>
          <w:rFonts w:hint="eastAsia" w:ascii="宋体" w:hAnsi="宋体" w:eastAsia="宋体" w:cs="宋体"/>
          <w:sz w:val="21"/>
          <w:szCs w:val="21"/>
          <w:u w:val="single"/>
          <w:lang w:val="en-US" w:eastAsia="zh-CN"/>
        </w:rPr>
        <w:t>东莞市城市工程建设集团有限公司</w:t>
      </w:r>
      <w:r>
        <w:rPr>
          <w:rFonts w:hint="eastAsia" w:ascii="宋体" w:hAnsi="宋体" w:eastAsia="宋体" w:cs="宋体"/>
          <w:sz w:val="21"/>
          <w:szCs w:val="21"/>
        </w:rPr>
        <w:t xml:space="preserve">  乙方（盖章）： </w:t>
      </w:r>
    </w:p>
    <w:p w14:paraId="2F1341F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宋体" w:hAnsi="宋体" w:eastAsia="宋体" w:cs="宋体"/>
          <w:sz w:val="21"/>
          <w:szCs w:val="21"/>
        </w:rPr>
      </w:pPr>
    </w:p>
    <w:p w14:paraId="7BB0DFFE">
      <w:pPr>
        <w:keepNext w:val="0"/>
        <w:keepLines w:val="0"/>
        <w:pageBreakBefore w:val="0"/>
        <w:kinsoku/>
        <w:wordWrap/>
        <w:overflowPunct/>
        <w:topLinePunct w:val="0"/>
        <w:autoSpaceDE/>
        <w:autoSpaceDN/>
        <w:bidi w:val="0"/>
        <w:adjustRightInd/>
        <w:snapToGrid/>
        <w:spacing w:before="156" w:beforeLines="50" w:after="156" w:afterLines="50" w:line="360" w:lineRule="auto"/>
        <w:contextualSpacing/>
        <w:textAlignment w:val="auto"/>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lang w:val="en-US" w:eastAsia="zh-CN"/>
        </w:rPr>
        <w:t>或</w:t>
      </w:r>
      <w:r>
        <w:rPr>
          <w:rFonts w:hint="eastAsia" w:ascii="宋体" w:hAnsi="宋体" w:eastAsia="宋体" w:cs="宋体"/>
          <w:sz w:val="21"/>
          <w:szCs w:val="21"/>
        </w:rPr>
        <w:t>授权代表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签章</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法定代表人</w:t>
      </w:r>
      <w:r>
        <w:rPr>
          <w:rFonts w:hint="eastAsia" w:ascii="宋体" w:hAnsi="宋体" w:eastAsia="宋体" w:cs="宋体"/>
          <w:sz w:val="21"/>
          <w:szCs w:val="21"/>
          <w:lang w:val="en-US" w:eastAsia="zh-CN"/>
        </w:rPr>
        <w:t>或</w:t>
      </w:r>
      <w:r>
        <w:rPr>
          <w:rFonts w:hint="eastAsia" w:ascii="宋体" w:hAnsi="宋体" w:eastAsia="宋体" w:cs="宋体"/>
          <w:sz w:val="21"/>
          <w:szCs w:val="21"/>
        </w:rPr>
        <w:t>授权代表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签章</w:t>
      </w:r>
      <w:r>
        <w:rPr>
          <w:rFonts w:hint="eastAsia" w:ascii="宋体" w:hAnsi="宋体" w:eastAsia="宋体" w:cs="宋体"/>
          <w:sz w:val="21"/>
          <w:szCs w:val="21"/>
          <w:lang w:eastAsia="zh-CN"/>
        </w:rPr>
        <w:t>）</w:t>
      </w:r>
      <w:r>
        <w:rPr>
          <w:rFonts w:hint="eastAsia" w:ascii="宋体" w:hAnsi="宋体" w:eastAsia="宋体" w:cs="宋体"/>
          <w:sz w:val="21"/>
          <w:szCs w:val="21"/>
        </w:rPr>
        <w:t>：</w:t>
      </w:r>
    </w:p>
    <w:p w14:paraId="485E65D7">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宋体" w:hAnsi="宋体" w:eastAsia="宋体" w:cs="宋体"/>
          <w:sz w:val="21"/>
          <w:szCs w:val="21"/>
        </w:rPr>
      </w:pPr>
    </w:p>
    <w:p w14:paraId="2BC6FD2E">
      <w:pPr>
        <w:keepNext w:val="0"/>
        <w:keepLines w:val="0"/>
        <w:pageBreakBefore w:val="0"/>
        <w:kinsoku/>
        <w:wordWrap/>
        <w:overflowPunct/>
        <w:topLinePunct w:val="0"/>
        <w:autoSpaceDE/>
        <w:autoSpaceDN/>
        <w:bidi w:val="0"/>
        <w:adjustRightInd/>
        <w:snapToGrid/>
        <w:spacing w:before="156" w:beforeLines="50" w:after="156" w:afterLines="50" w:line="360" w:lineRule="auto"/>
        <w:contextualSpacing/>
        <w:textAlignment w:val="auto"/>
        <w:rPr>
          <w:rFonts w:hint="eastAsia" w:ascii="宋体" w:hAnsi="宋体" w:eastAsia="宋体" w:cs="宋体"/>
          <w:sz w:val="21"/>
          <w:szCs w:val="21"/>
        </w:rPr>
      </w:pPr>
      <w:r>
        <w:rPr>
          <w:rFonts w:hint="eastAsia" w:ascii="宋体" w:hAnsi="宋体" w:eastAsia="宋体" w:cs="宋体"/>
          <w:sz w:val="21"/>
          <w:szCs w:val="21"/>
        </w:rPr>
        <w:t xml:space="preserve">签约日期：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月   日</w:t>
      </w:r>
      <w:r>
        <w:rPr>
          <w:rFonts w:hint="eastAsia" w:ascii="宋体" w:hAnsi="宋体" w:eastAsia="宋体" w:cs="宋体"/>
          <w:sz w:val="21"/>
          <w:szCs w:val="21"/>
        </w:rPr>
        <w:tab/>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签约日期：   年   月   日</w:t>
      </w:r>
    </w:p>
    <w:p w14:paraId="5EFB9A08">
      <w:pPr>
        <w:bidi w:val="0"/>
        <w:ind w:firstLine="240" w:firstLineChars="100"/>
        <w:rPr>
          <w:rFonts w:hint="eastAsia" w:ascii="仿宋" w:hAnsi="仿宋" w:eastAsia="仿宋" w:cs="仿宋"/>
          <w:color w:val="auto"/>
          <w:sz w:val="24"/>
          <w:szCs w:val="24"/>
          <w:highlight w:val="none"/>
          <w:lang w:val="en-US" w:eastAsia="zh-CN"/>
        </w:rPr>
      </w:pPr>
    </w:p>
    <w:p w14:paraId="17689044">
      <w:pPr>
        <w:rPr>
          <w:rFonts w:hint="eastAsia" w:eastAsia="黑体"/>
          <w:b/>
          <w:bCs/>
          <w:color w:val="auto"/>
          <w:kern w:val="2"/>
          <w:sz w:val="32"/>
          <w:lang w:val="en-US" w:eastAsia="zh-CN"/>
        </w:rPr>
      </w:pPr>
    </w:p>
    <w:p w14:paraId="1C9E96E2">
      <w:pPr>
        <w:rPr>
          <w:rFonts w:hint="eastAsia" w:eastAsia="黑体"/>
          <w:b/>
          <w:bCs/>
          <w:color w:val="auto"/>
          <w:kern w:val="2"/>
          <w:sz w:val="32"/>
          <w:lang w:val="en-US" w:eastAsia="zh-CN"/>
        </w:rPr>
      </w:pPr>
    </w:p>
    <w:p w14:paraId="65B15D9C">
      <w:pPr>
        <w:rPr>
          <w:rFonts w:hint="eastAsia" w:eastAsia="黑体"/>
          <w:b/>
          <w:bCs/>
          <w:color w:val="auto"/>
          <w:kern w:val="2"/>
          <w:sz w:val="32"/>
          <w:lang w:val="en-US" w:eastAsia="zh-CN"/>
        </w:rPr>
      </w:pPr>
    </w:p>
    <w:p w14:paraId="1C86024A">
      <w:pPr>
        <w:spacing w:line="360" w:lineRule="auto"/>
        <w:rPr>
          <w:rFonts w:hAnsi="宋体"/>
          <w:color w:val="auto"/>
          <w:spacing w:val="8"/>
          <w:highlight w:val="yellow"/>
        </w:rPr>
      </w:pPr>
      <w:r>
        <w:rPr>
          <w:rFonts w:hint="eastAsia" w:hAnsi="宋体"/>
          <w:color w:val="auto"/>
          <w:spacing w:val="8"/>
          <w:highlight w:val="none"/>
        </w:rPr>
        <w:t>附件1：</w:t>
      </w:r>
    </w:p>
    <w:p w14:paraId="00CE7E26">
      <w:pPr>
        <w:keepNext w:val="0"/>
        <w:keepLines w:val="0"/>
        <w:pageBreakBefore w:val="0"/>
        <w:kinsoku/>
        <w:wordWrap/>
        <w:overflowPunct/>
        <w:topLinePunct w:val="0"/>
        <w:autoSpaceDE/>
        <w:autoSpaceDN/>
        <w:bidi w:val="0"/>
        <w:adjustRightInd/>
        <w:snapToGrid/>
        <w:spacing w:line="360" w:lineRule="auto"/>
        <w:ind w:firstLine="880" w:firstLineChars="200"/>
        <w:jc w:val="center"/>
        <w:textAlignment w:val="auto"/>
        <w:rPr>
          <w:rFonts w:hint="eastAsia" w:ascii="仿宋" w:hAnsi="仿宋" w:eastAsia="仿宋" w:cs="仿宋"/>
          <w:b/>
          <w:sz w:val="44"/>
          <w:szCs w:val="44"/>
        </w:rPr>
      </w:pPr>
      <w:r>
        <w:rPr>
          <w:rFonts w:hint="eastAsia" w:ascii="仿宋" w:hAnsi="仿宋" w:eastAsia="仿宋" w:cs="仿宋"/>
          <w:b/>
          <w:sz w:val="44"/>
          <w:szCs w:val="44"/>
        </w:rPr>
        <w:t>阳光合作协议</w:t>
      </w:r>
    </w:p>
    <w:p w14:paraId="02D6FCA1">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ascii="宋体"/>
          <w:b/>
          <w:sz w:val="28"/>
          <w:szCs w:val="28"/>
        </w:rPr>
      </w:pPr>
    </w:p>
    <w:p w14:paraId="2548901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szCs w:val="21"/>
        </w:rPr>
        <w:t>甲方：</w:t>
      </w:r>
      <w:r>
        <w:rPr>
          <w:rFonts w:hint="eastAsia" w:ascii="宋体" w:hAnsi="宋体"/>
          <w:szCs w:val="21"/>
          <w:u w:val="single"/>
          <w:lang w:val="en-US" w:eastAsia="zh-CN"/>
        </w:rPr>
        <w:t xml:space="preserve">  </w:t>
      </w:r>
      <w:r>
        <w:rPr>
          <w:rFonts w:hint="eastAsia" w:ascii="宋体" w:hAnsi="宋体" w:eastAsia="宋体" w:cs="Times New Roman"/>
          <w:szCs w:val="21"/>
          <w:u w:val="single"/>
          <w:lang w:eastAsia="zh-CN"/>
        </w:rPr>
        <w:t>东莞市城市工程建设集团有限公司</w:t>
      </w:r>
      <w:r>
        <w:rPr>
          <w:rFonts w:hint="eastAsia" w:ascii="宋体" w:hAnsi="宋体" w:eastAsia="宋体" w:cs="Times New Roman"/>
          <w:szCs w:val="21"/>
          <w:u w:val="single"/>
          <w:lang w:val="en-US" w:eastAsia="zh-CN"/>
        </w:rPr>
        <w:t xml:space="preserve">  </w:t>
      </w:r>
      <w:r>
        <w:rPr>
          <w:rFonts w:hint="eastAsia" w:ascii="宋体" w:hAnsi="宋体"/>
          <w:szCs w:val="21"/>
          <w:u w:val="single"/>
          <w:lang w:val="en-US" w:eastAsia="zh-CN"/>
        </w:rPr>
        <w:t xml:space="preserve">  </w:t>
      </w:r>
    </w:p>
    <w:p w14:paraId="585F277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Cs w:val="21"/>
        </w:rPr>
      </w:pPr>
      <w:r>
        <w:rPr>
          <w:rFonts w:hint="eastAsia" w:ascii="宋体" w:hAnsi="宋体"/>
          <w:szCs w:val="21"/>
        </w:rPr>
        <w:t>乙方：</w:t>
      </w:r>
      <w:r>
        <w:rPr>
          <w:rFonts w:hint="eastAsia" w:ascii="宋体" w:hAnsi="宋体"/>
          <w:szCs w:val="21"/>
          <w:u w:val="single"/>
          <w:lang w:val="en-US" w:eastAsia="zh-CN"/>
        </w:rPr>
        <w:t xml:space="preserve">                                      </w:t>
      </w:r>
      <w:r>
        <w:rPr>
          <w:rFonts w:ascii="宋体" w:hAnsi="宋体"/>
          <w:szCs w:val="21"/>
        </w:rPr>
        <w:t xml:space="preserve"> </w:t>
      </w:r>
    </w:p>
    <w:p w14:paraId="581BDC17">
      <w:pPr>
        <w:pStyle w:val="10"/>
      </w:pPr>
    </w:p>
    <w:p w14:paraId="0652975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甲乙双方于</w:t>
      </w:r>
      <w:r>
        <w:rPr>
          <w:rFonts w:hint="eastAsia" w:ascii="宋体" w:hAnsi="宋体"/>
          <w:u w:val="single"/>
          <w:lang w:val="en-US" w:eastAsia="zh-CN"/>
        </w:rPr>
        <w:t xml:space="preserve">      </w:t>
      </w:r>
      <w:r>
        <w:rPr>
          <w:rFonts w:hint="eastAsia" w:ascii="宋体" w:hAnsi="宋体"/>
        </w:rPr>
        <w:t>年</w:t>
      </w:r>
      <w:r>
        <w:rPr>
          <w:rFonts w:hint="eastAsia" w:ascii="宋体" w:hAnsi="宋体"/>
          <w:u w:val="single"/>
          <w:lang w:val="en-US" w:eastAsia="zh-CN"/>
        </w:rPr>
        <w:t xml:space="preserve">      </w:t>
      </w:r>
      <w:r>
        <w:rPr>
          <w:rFonts w:hint="eastAsia" w:ascii="宋体" w:hAnsi="宋体"/>
        </w:rPr>
        <w:t>月</w:t>
      </w:r>
      <w:r>
        <w:rPr>
          <w:rFonts w:hint="eastAsia" w:ascii="宋体" w:hAnsi="宋体"/>
          <w:u w:val="single"/>
          <w:lang w:val="en-US" w:eastAsia="zh-CN"/>
        </w:rPr>
        <w:t xml:space="preserve">      </w:t>
      </w:r>
      <w:r>
        <w:rPr>
          <w:rFonts w:hint="eastAsia" w:ascii="宋体" w:hAnsi="宋体"/>
        </w:rPr>
        <w:t>日签署了《</w:t>
      </w:r>
      <w:r>
        <w:rPr>
          <w:rFonts w:hint="eastAsia" w:ascii="宋体" w:hAnsi="宋体"/>
          <w:u w:val="single"/>
          <w:lang w:val="en-US" w:eastAsia="zh-CN"/>
        </w:rPr>
        <w:t xml:space="preserve">                 </w:t>
      </w:r>
      <w:r>
        <w:rPr>
          <w:rFonts w:hint="eastAsia" w:ascii="宋体" w:hAnsi="宋体"/>
          <w:lang w:val="en-US" w:eastAsia="zh-CN"/>
        </w:rPr>
        <w:t>合同</w:t>
      </w:r>
      <w:r>
        <w:rPr>
          <w:rFonts w:hint="eastAsia" w:ascii="宋体" w:hAnsi="宋体"/>
        </w:rPr>
        <w:t>》（以下简称原合同），为加强双方阳光合作，保证职员职业安全，甲乙双方经协商签订本协议并作为双方共同遵守的阳光合作行为准则。</w:t>
      </w:r>
    </w:p>
    <w:p w14:paraId="66347355">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一、</w:t>
      </w:r>
      <w:r>
        <w:rPr>
          <w:rFonts w:hint="eastAsia" w:ascii="宋体" w:hAnsi="宋体"/>
          <w:b/>
        </w:rPr>
        <w:t>甲方责任</w:t>
      </w:r>
    </w:p>
    <w:p w14:paraId="70957C1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1.甲方有责任向乙方介绍本单位有关采购管理通用原则和本协议的规定。</w:t>
      </w:r>
    </w:p>
    <w:p w14:paraId="1E3CDD80">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2.甲方有责任对本单位相关人员进行阳光合作教育。</w:t>
      </w:r>
    </w:p>
    <w:p w14:paraId="7864EEC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2CF2D6F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4.甲方人员如违反阳光合作管理制度及本协议规定，甲方视情节轻重、影响大小给予行政及经济处罚。</w:t>
      </w:r>
    </w:p>
    <w:p w14:paraId="4071969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5．对于乙方举报甲方人员违反阳光合作规定的情况，甲方应及时进行调查，根据调查情况进行处理，并将调查结果向乙方反馈。</w:t>
      </w:r>
    </w:p>
    <w:p w14:paraId="764DBAB1">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6.接受举报的一方应为举报方保密，不得对举报方进行报复，对举报属实和严格遵守《阳光合作协议》的合作方，在同等条件下给予后续合作的优先权。</w:t>
      </w:r>
    </w:p>
    <w:p w14:paraId="6849D8C8">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二、</w:t>
      </w:r>
      <w:r>
        <w:rPr>
          <w:rFonts w:hint="eastAsia" w:ascii="宋体" w:hAnsi="宋体"/>
          <w:b/>
        </w:rPr>
        <w:t>乙方责任</w:t>
      </w:r>
    </w:p>
    <w:p w14:paraId="3E46EC8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1.乙方应保证乙方人员了解甲方有关采购管理通用原则和及本协议的规定，并遵照执行。</w:t>
      </w:r>
    </w:p>
    <w:p w14:paraId="0626536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2.乙方不得以任何形式给予甲方人员回扣、赠送实物、现金、有价证券、礼券等有价物品或提供旅游等其他可能影响职务行为公正履行的活动（以下统称“财物”）。</w:t>
      </w:r>
    </w:p>
    <w:p w14:paraId="1F21716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3.乙方有责任接受甲方对乙方在合作期间阳光合作管理执行情况的监督，并对甲方相关调查工作主动配合。</w:t>
      </w:r>
    </w:p>
    <w:p w14:paraId="59EA1F2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rPr>
        <w:t>4.乙方有义务就甲方人员任何形式的索取或收受财物行为及时向甲方（直接联系人为</w:t>
      </w:r>
      <w:r>
        <w:rPr>
          <w:rFonts w:hint="eastAsia" w:ascii="宋体" w:hAnsi="宋体"/>
          <w:lang w:eastAsia="zh-CN"/>
        </w:rPr>
        <w:t>东莞市城市工程建设集团有限</w:t>
      </w:r>
      <w:r>
        <w:rPr>
          <w:rFonts w:hint="eastAsia" w:ascii="宋体" w:hAnsi="宋体"/>
          <w:color w:val="auto"/>
          <w:highlight w:val="none"/>
          <w:lang w:eastAsia="zh-CN"/>
        </w:rPr>
        <w:t>公司</w:t>
      </w:r>
      <w:r>
        <w:rPr>
          <w:rFonts w:hint="eastAsia" w:ascii="宋体" w:hAnsi="宋体"/>
          <w:color w:val="auto"/>
          <w:highlight w:val="none"/>
          <w:lang w:val="en-US" w:eastAsia="zh-CN"/>
        </w:rPr>
        <w:t xml:space="preserve">综合部 </w:t>
      </w:r>
      <w:r>
        <w:rPr>
          <w:rFonts w:hint="eastAsia" w:ascii="宋体" w:hAnsi="宋体"/>
          <w:color w:val="auto"/>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color w:val="auto"/>
          <w:highlight w:val="none"/>
          <w:lang w:eastAsia="zh-CN"/>
        </w:rPr>
        <w:t>城工集团</w:t>
      </w:r>
      <w:r>
        <w:rPr>
          <w:rFonts w:hint="eastAsia" w:ascii="宋体" w:hAnsi="宋体"/>
          <w:color w:val="auto"/>
          <w:highlight w:val="none"/>
        </w:rPr>
        <w:t>（</w:t>
      </w:r>
      <w:r>
        <w:rPr>
          <w:rFonts w:hint="eastAsia" w:ascii="宋体" w:hAnsi="宋体"/>
          <w:color w:val="auto"/>
          <w:highlight w:val="none"/>
          <w:lang w:eastAsia="zh-CN"/>
        </w:rPr>
        <w:t>东莞市城市工程建设集团有限公司</w:t>
      </w:r>
      <w:r>
        <w:rPr>
          <w:rFonts w:hint="eastAsia" w:ascii="宋体" w:hAnsi="宋体"/>
          <w:color w:val="auto"/>
          <w:highlight w:val="none"/>
        </w:rPr>
        <w:t>及下属子公司）合格供应商。</w:t>
      </w:r>
    </w:p>
    <w:p w14:paraId="74B1BD2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5．甲方接受乙方实名或匿名举报，保证为举报者的信息保密，常设举报部门及电</w:t>
      </w:r>
      <w:r>
        <w:rPr>
          <w:rFonts w:hint="eastAsia" w:ascii="宋体" w:hAnsi="宋体" w:eastAsia="宋体"/>
          <w:color w:val="auto"/>
          <w:highlight w:val="none"/>
          <w:lang w:val="en-US" w:eastAsia="zh-CN"/>
        </w:rPr>
        <w:t>话</w:t>
      </w:r>
      <w:r>
        <w:rPr>
          <w:rFonts w:hint="eastAsia" w:ascii="宋体" w:hAnsi="宋体"/>
          <w:color w:val="auto"/>
          <w:highlight w:val="none"/>
        </w:rPr>
        <w:t xml:space="preserve">： </w:t>
      </w:r>
    </w:p>
    <w:p w14:paraId="44DF2B4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举报受理部门：</w:t>
      </w:r>
      <w:r>
        <w:rPr>
          <w:rFonts w:hint="eastAsia" w:ascii="宋体" w:hAnsi="宋体"/>
          <w:color w:val="auto"/>
          <w:highlight w:val="none"/>
          <w:lang w:eastAsia="zh-CN"/>
        </w:rPr>
        <w:t>东莞市城市工程建设集团有限公司</w:t>
      </w:r>
      <w:r>
        <w:rPr>
          <w:rFonts w:hint="eastAsia" w:ascii="宋体" w:hAnsi="宋体"/>
          <w:color w:val="auto"/>
          <w:highlight w:val="none"/>
          <w:lang w:val="en-US" w:eastAsia="zh-CN"/>
        </w:rPr>
        <w:t>综合部</w:t>
      </w:r>
    </w:p>
    <w:p w14:paraId="42127E23">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rPr>
      </w:pPr>
      <w:r>
        <w:rPr>
          <w:rFonts w:hint="eastAsia" w:ascii="宋体" w:hAnsi="宋体"/>
          <w:color w:val="auto"/>
          <w:highlight w:val="none"/>
          <w:lang w:eastAsia="zh-CN"/>
        </w:rPr>
        <w:t>城工集团</w:t>
      </w:r>
      <w:r>
        <w:rPr>
          <w:rFonts w:hint="eastAsia" w:ascii="宋体" w:hAnsi="宋体"/>
          <w:color w:val="auto"/>
          <w:highlight w:val="none"/>
        </w:rPr>
        <w:t>举报邮箱：</w:t>
      </w:r>
      <w:r>
        <w:rPr>
          <w:rFonts w:hint="eastAsia" w:ascii="宋体" w:hAnsi="宋体"/>
          <w:color w:val="auto"/>
          <w:highlight w:val="none"/>
          <w:lang w:val="en-US" w:eastAsia="zh-CN"/>
        </w:rPr>
        <w:t>dg</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 xml:space="preserve">cgjt@126.com   </w:t>
      </w:r>
      <w:r>
        <w:rPr>
          <w:rFonts w:hint="eastAsia" w:ascii="宋体" w:hAnsi="宋体"/>
          <w:color w:val="auto"/>
          <w:highlight w:val="none"/>
          <w:lang w:eastAsia="zh-CN"/>
        </w:rPr>
        <w:t>城工集团</w:t>
      </w:r>
      <w:r>
        <w:rPr>
          <w:rFonts w:hint="eastAsia" w:ascii="宋体" w:hAnsi="宋体"/>
          <w:color w:val="auto"/>
          <w:highlight w:val="none"/>
        </w:rPr>
        <w:t>举报电话：</w:t>
      </w:r>
      <w:r>
        <w:rPr>
          <w:rFonts w:hint="eastAsia" w:ascii="宋体" w:hAnsi="宋体"/>
          <w:color w:val="auto"/>
          <w:highlight w:val="none"/>
          <w:lang w:val="en-US" w:eastAsia="zh-CN"/>
        </w:rPr>
        <w:t xml:space="preserve">0769-39009900 </w:t>
      </w:r>
      <w:r>
        <w:rPr>
          <w:rFonts w:hint="eastAsia" w:ascii="宋体" w:hAnsi="宋体"/>
          <w:color w:val="auto"/>
          <w:highlight w:val="none"/>
        </w:rPr>
        <w:t>（周一</w:t>
      </w:r>
      <w:r>
        <w:rPr>
          <w:rFonts w:hint="eastAsia" w:ascii="宋体" w:hAnsi="宋体"/>
        </w:rPr>
        <w:t>至周五9:00-12:00和14:00-18:00）</w:t>
      </w:r>
    </w:p>
    <w:p w14:paraId="6474CE2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邮寄地址：东莞市南城</w:t>
      </w:r>
      <w:r>
        <w:rPr>
          <w:rFonts w:hint="eastAsia" w:ascii="宋体" w:hAnsi="宋体"/>
          <w:lang w:val="en-US" w:eastAsia="zh-CN"/>
        </w:rPr>
        <w:t>街道</w:t>
      </w:r>
      <w:r>
        <w:rPr>
          <w:rFonts w:hint="eastAsia" w:ascii="宋体" w:hAnsi="宋体"/>
        </w:rPr>
        <w:t>城市风景街8栋，</w:t>
      </w:r>
      <w:r>
        <w:rPr>
          <w:rFonts w:hint="eastAsia" w:ascii="宋体" w:hAnsi="宋体"/>
          <w:lang w:eastAsia="zh-CN"/>
        </w:rPr>
        <w:t>东莞市</w:t>
      </w:r>
      <w:r>
        <w:rPr>
          <w:rFonts w:hint="eastAsia" w:ascii="宋体" w:hAnsi="宋体"/>
          <w:color w:val="auto"/>
          <w:highlight w:val="none"/>
          <w:lang w:eastAsia="zh-CN"/>
        </w:rPr>
        <w:t>城市工程建设集团有限公司</w:t>
      </w:r>
      <w:r>
        <w:rPr>
          <w:rFonts w:hint="eastAsia" w:ascii="宋体" w:hAnsi="宋体"/>
          <w:color w:val="auto"/>
          <w:highlight w:val="none"/>
          <w:lang w:val="en-US" w:eastAsia="zh-CN"/>
        </w:rPr>
        <w:t>综合部</w:t>
      </w:r>
      <w:r>
        <w:rPr>
          <w:rFonts w:hint="eastAsia" w:ascii="宋体" w:hAnsi="宋体"/>
          <w:color w:val="auto"/>
          <w:highlight w:val="none"/>
        </w:rPr>
        <w:t>收，邮</w:t>
      </w:r>
      <w:r>
        <w:rPr>
          <w:rFonts w:hint="eastAsia" w:ascii="宋体" w:hAnsi="宋体"/>
        </w:rPr>
        <w:t>编523000。</w:t>
      </w:r>
    </w:p>
    <w:p w14:paraId="3A27D41E">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三、</w:t>
      </w:r>
      <w:r>
        <w:rPr>
          <w:rFonts w:hint="eastAsia" w:ascii="宋体" w:hAnsi="宋体"/>
          <w:b/>
        </w:rPr>
        <w:t>其他</w:t>
      </w:r>
    </w:p>
    <w:p w14:paraId="116EEE9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1.本协议是原合同的补充协议，与原合同有同等法律效力。</w:t>
      </w:r>
    </w:p>
    <w:p w14:paraId="577FFA3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w:t>
      </w:r>
      <w:r>
        <w:rPr>
          <w:rFonts w:ascii="宋体" w:hAnsi="宋体"/>
        </w:rPr>
        <w:t>本</w:t>
      </w:r>
      <w:r>
        <w:rPr>
          <w:rFonts w:hint="eastAsia" w:ascii="宋体" w:hAnsi="宋体"/>
        </w:rPr>
        <w:t>协议</w:t>
      </w:r>
      <w:r>
        <w:rPr>
          <w:rFonts w:ascii="宋体" w:hAnsi="宋体"/>
        </w:rPr>
        <w:t>一式</w:t>
      </w:r>
      <w:r>
        <w:rPr>
          <w:rFonts w:hint="eastAsia" w:ascii="宋体" w:hAnsi="宋体"/>
          <w:lang w:val="en-US" w:eastAsia="zh-CN"/>
        </w:rPr>
        <w:t>贰</w:t>
      </w:r>
      <w:r>
        <w:rPr>
          <w:rFonts w:ascii="宋体" w:hAnsi="宋体"/>
        </w:rPr>
        <w:t>份，甲方执</w:t>
      </w:r>
      <w:r>
        <w:rPr>
          <w:rFonts w:hint="eastAsia" w:ascii="宋体" w:hAnsi="宋体"/>
          <w:lang w:val="en-US" w:eastAsia="zh-CN"/>
        </w:rPr>
        <w:t>壹</w:t>
      </w:r>
      <w:r>
        <w:rPr>
          <w:rFonts w:ascii="宋体" w:hAnsi="宋体"/>
        </w:rPr>
        <w:t>份，乙方执</w:t>
      </w:r>
      <w:r>
        <w:rPr>
          <w:rFonts w:hint="eastAsia" w:ascii="宋体" w:hAnsi="宋体"/>
          <w:lang w:val="en-US" w:eastAsia="zh-CN"/>
        </w:rPr>
        <w:t>壹</w:t>
      </w:r>
      <w:r>
        <w:rPr>
          <w:rFonts w:ascii="宋体" w:hAnsi="宋体"/>
        </w:rPr>
        <w:t>份</w:t>
      </w:r>
      <w:r>
        <w:rPr>
          <w:rFonts w:hint="eastAsia" w:ascii="宋体" w:hAnsi="宋体"/>
        </w:rPr>
        <w:t>,具有同等法律效力。</w:t>
      </w:r>
    </w:p>
    <w:p w14:paraId="4616E0F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3.本协议经双方签署后生效。</w:t>
      </w:r>
    </w:p>
    <w:p w14:paraId="0382B16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641F4A7F">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 xml:space="preserve">甲方（盖章）：                      </w:t>
      </w:r>
      <w:r>
        <w:rPr>
          <w:rFonts w:hint="eastAsia" w:ascii="宋体" w:hAnsi="宋体"/>
          <w:lang w:val="en-US" w:eastAsia="zh-CN"/>
        </w:rPr>
        <w:t xml:space="preserve">   </w:t>
      </w:r>
      <w:r>
        <w:rPr>
          <w:rFonts w:hint="eastAsia" w:ascii="宋体" w:hAnsi="宋体"/>
        </w:rPr>
        <w:t>乙方（盖章）：</w:t>
      </w:r>
      <w:r>
        <w:rPr>
          <w:rFonts w:ascii="宋体"/>
        </w:rPr>
        <w:t xml:space="preserve"> </w:t>
      </w:r>
    </w:p>
    <w:p w14:paraId="15CE3AB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1CFF283E">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法定代表人（授权代表）：</w:t>
      </w:r>
      <w:r>
        <w:rPr>
          <w:rFonts w:hint="eastAsia" w:ascii="宋体"/>
        </w:rPr>
        <w:tab/>
      </w:r>
      <w:r>
        <w:rPr>
          <w:rFonts w:hint="eastAsia" w:ascii="宋体"/>
        </w:rPr>
        <w:tab/>
      </w:r>
      <w:r>
        <w:rPr>
          <w:rFonts w:hint="eastAsia" w:ascii="宋体"/>
        </w:rPr>
        <w:t xml:space="preserve">  </w:t>
      </w:r>
      <w:r>
        <w:rPr>
          <w:rFonts w:hint="eastAsia" w:ascii="宋体"/>
        </w:rPr>
        <w:tab/>
      </w:r>
      <w:r>
        <w:rPr>
          <w:rFonts w:hint="eastAsia" w:ascii="宋体"/>
        </w:rPr>
        <w:t xml:space="preserve">   </w:t>
      </w:r>
      <w:r>
        <w:rPr>
          <w:rFonts w:hint="eastAsia" w:ascii="宋体" w:hAnsi="宋体"/>
        </w:rPr>
        <w:t>法定代表人（授权代表）：</w:t>
      </w:r>
    </w:p>
    <w:p w14:paraId="43192307">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341CA891">
      <w:pPr>
        <w:ind w:firstLine="420" w:firstLineChars="200"/>
        <w:rPr>
          <w:rFonts w:hint="eastAsia" w:eastAsia="黑体"/>
          <w:b/>
          <w:bCs/>
          <w:color w:val="auto"/>
          <w:kern w:val="2"/>
          <w:sz w:val="32"/>
          <w:lang w:val="en-US" w:eastAsia="zh-CN"/>
        </w:rPr>
      </w:pPr>
      <w:r>
        <w:rPr>
          <w:rFonts w:hint="eastAsia" w:ascii="宋体" w:hAnsi="宋体"/>
        </w:rPr>
        <w:t>签约日期：   年   月   日</w:t>
      </w:r>
      <w:r>
        <w:tab/>
      </w:r>
      <w:r>
        <w:t xml:space="preserve">    </w:t>
      </w:r>
      <w:r>
        <w:rPr>
          <w:rFonts w:hint="eastAsia"/>
        </w:rPr>
        <w:t xml:space="preserve">   </w:t>
      </w:r>
      <w:r>
        <w:rPr>
          <w:rFonts w:hint="eastAsia"/>
          <w:lang w:val="en-US" w:eastAsia="zh-CN"/>
        </w:rPr>
        <w:t xml:space="preserve">    </w:t>
      </w:r>
      <w:r>
        <w:rPr>
          <w:rFonts w:hint="eastAsia" w:ascii="宋体" w:hAnsi="宋体"/>
        </w:rPr>
        <w:t>签约日期：   年   月   日</w:t>
      </w:r>
    </w:p>
    <w:p w14:paraId="3F5B2C39">
      <w:pPr>
        <w:rPr>
          <w:rFonts w:hint="eastAsia" w:eastAsia="黑体"/>
          <w:b/>
          <w:bCs/>
          <w:color w:val="auto"/>
          <w:kern w:val="2"/>
          <w:sz w:val="32"/>
          <w:lang w:val="en-US" w:eastAsia="zh-CN"/>
        </w:rPr>
      </w:pPr>
    </w:p>
    <w:p w14:paraId="133D3C11">
      <w:pPr>
        <w:rPr>
          <w:rFonts w:hint="eastAsia" w:eastAsia="黑体"/>
          <w:b/>
          <w:bCs/>
          <w:color w:val="auto"/>
          <w:kern w:val="2"/>
          <w:sz w:val="32"/>
          <w:lang w:val="en-US" w:eastAsia="zh-CN"/>
        </w:rPr>
      </w:pPr>
    </w:p>
    <w:p w14:paraId="711F4922">
      <w:pPr>
        <w:rPr>
          <w:rFonts w:hint="eastAsia" w:eastAsia="黑体"/>
          <w:b/>
          <w:bCs/>
          <w:color w:val="auto"/>
          <w:kern w:val="2"/>
          <w:sz w:val="32"/>
          <w:lang w:val="en-US" w:eastAsia="zh-CN"/>
        </w:rPr>
      </w:pPr>
      <w:r>
        <w:rPr>
          <w:rFonts w:hint="eastAsia"/>
          <w:lang w:val="en-US" w:eastAsia="zh-CN"/>
        </w:rPr>
        <w:t>附件2：甲乙双方</w:t>
      </w:r>
      <w:r>
        <w:rPr>
          <w:rFonts w:hint="eastAsia" w:ascii="宋体" w:hAnsi="宋体" w:eastAsia="宋体" w:cs="宋体"/>
          <w:color w:val="000000"/>
          <w:sz w:val="24"/>
        </w:rPr>
        <w:t>事项负责人</w:t>
      </w:r>
      <w:r>
        <w:rPr>
          <w:rFonts w:hint="eastAsia" w:ascii="宋体" w:hAnsi="宋体" w:eastAsia="宋体" w:cs="宋体"/>
          <w:color w:val="000000"/>
          <w:sz w:val="24"/>
          <w:lang w:val="en-US" w:eastAsia="zh-CN"/>
        </w:rPr>
        <w:t>授权委托书</w:t>
      </w:r>
    </w:p>
    <w:p w14:paraId="2011A3A7">
      <w:pPr>
        <w:rPr>
          <w:rFonts w:hint="eastAsia" w:eastAsia="黑体"/>
          <w:b/>
          <w:bCs/>
          <w:color w:val="auto"/>
          <w:kern w:val="2"/>
          <w:sz w:val="32"/>
          <w:lang w:val="en-US" w:eastAsia="zh-CN"/>
        </w:rPr>
      </w:pPr>
    </w:p>
    <w:p w14:paraId="2CDC8E20">
      <w:pPr>
        <w:rPr>
          <w:rFonts w:hint="eastAsia" w:eastAsia="黑体"/>
          <w:b/>
          <w:bCs/>
          <w:color w:val="auto"/>
          <w:kern w:val="2"/>
          <w:sz w:val="32"/>
          <w:lang w:val="en-US" w:eastAsia="zh-CN"/>
        </w:rPr>
      </w:pPr>
    </w:p>
    <w:p w14:paraId="04A5E1E0">
      <w:pPr>
        <w:rPr>
          <w:rFonts w:hint="eastAsia" w:eastAsia="黑体"/>
          <w:b/>
          <w:bCs/>
          <w:color w:val="auto"/>
          <w:kern w:val="2"/>
          <w:sz w:val="32"/>
          <w:lang w:val="en-US" w:eastAsia="zh-CN"/>
        </w:rPr>
      </w:pPr>
    </w:p>
    <w:p w14:paraId="3FB1B5DE">
      <w:pPr>
        <w:rPr>
          <w:rFonts w:hint="eastAsia" w:eastAsia="黑体"/>
          <w:b/>
          <w:bCs/>
          <w:color w:val="auto"/>
          <w:kern w:val="2"/>
          <w:sz w:val="32"/>
          <w:lang w:val="en-US" w:eastAsia="zh-CN"/>
        </w:rPr>
      </w:pPr>
      <w:r>
        <w:rPr>
          <w:rFonts w:hint="eastAsia" w:eastAsia="黑体"/>
          <w:b/>
          <w:bCs/>
          <w:color w:val="auto"/>
          <w:kern w:val="2"/>
          <w:sz w:val="32"/>
          <w:lang w:val="en-US" w:eastAsia="zh-CN"/>
        </w:rPr>
        <w:br w:type="page"/>
      </w:r>
    </w:p>
    <w:p w14:paraId="51CE5966">
      <w:pPr>
        <w:pStyle w:val="2"/>
        <w:numPr>
          <w:ilvl w:val="0"/>
          <w:numId w:val="0"/>
        </w:numPr>
        <w:rPr>
          <w:rFonts w:hint="eastAsia" w:ascii="宋体" w:hAnsi="宋体" w:cs="宋体"/>
          <w:color w:val="000000"/>
          <w:sz w:val="24"/>
          <w:lang w:val="en-US" w:eastAsia="zh-CN"/>
        </w:rPr>
      </w:pPr>
      <w:r>
        <w:rPr>
          <w:rFonts w:hint="eastAsia" w:ascii="宋体" w:hAnsi="宋体" w:cs="宋体"/>
          <w:color w:val="000000"/>
          <w:sz w:val="24"/>
          <w:lang w:val="en-US" w:eastAsia="zh-CN"/>
        </w:rPr>
        <w:t>附件3：采购需求书</w:t>
      </w:r>
    </w:p>
    <w:p w14:paraId="0DB706FC">
      <w:pPr>
        <w:pStyle w:val="2"/>
        <w:numPr>
          <w:ilvl w:val="0"/>
          <w:numId w:val="0"/>
        </w:numPr>
        <w:ind w:firstLine="720" w:firstLineChars="300"/>
        <w:rPr>
          <w:rFonts w:hint="default" w:ascii="宋体" w:hAnsi="宋体" w:cs="宋体"/>
          <w:color w:val="000000"/>
          <w:sz w:val="24"/>
          <w:lang w:val="en-US" w:eastAsia="zh-CN"/>
        </w:rPr>
      </w:pPr>
    </w:p>
    <w:p w14:paraId="095D9E9A">
      <w:pPr>
        <w:numPr>
          <w:ilvl w:val="0"/>
          <w:numId w:val="0"/>
        </w:numPr>
        <w:jc w:val="center"/>
        <w:rPr>
          <w:rFonts w:hint="default" w:ascii="仿宋_GB2312" w:hAnsi="仿宋_GB2312" w:eastAsia="仿宋_GB2312" w:cs="仿宋_GB2312"/>
          <w:sz w:val="44"/>
          <w:szCs w:val="44"/>
          <w:lang w:val="en-US" w:eastAsia="zh-CN"/>
        </w:rPr>
      </w:pPr>
      <w:r>
        <w:rPr>
          <w:rFonts w:hint="eastAsia" w:ascii="仿宋_GB2312" w:hAnsi="仿宋_GB2312" w:eastAsia="仿宋_GB2312" w:cs="仿宋_GB2312"/>
          <w:sz w:val="32"/>
          <w:szCs w:val="32"/>
          <w:lang w:val="en-US" w:eastAsia="zh-CN"/>
        </w:rPr>
        <w:t>关于公路工程施工总承包一级资质一年证书换五年证书咨询服务单位的采购需求书</w:t>
      </w:r>
    </w:p>
    <w:p w14:paraId="066966B0">
      <w:pPr>
        <w:numPr>
          <w:ilvl w:val="0"/>
          <w:numId w:val="0"/>
        </w:numPr>
        <w:jc w:val="both"/>
        <w:rPr>
          <w:rFonts w:hint="eastAsia" w:ascii="仿宋_GB2312" w:hAnsi="仿宋_GB2312" w:eastAsia="仿宋_GB2312" w:cs="仿宋_GB2312"/>
          <w:sz w:val="32"/>
          <w:szCs w:val="32"/>
          <w:lang w:val="en-US" w:eastAsia="zh-CN"/>
        </w:rPr>
      </w:pPr>
    </w:p>
    <w:p w14:paraId="3830C7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一、资质换证简述</w:t>
      </w:r>
    </w:p>
    <w:p w14:paraId="0865FF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我公司通过对安徽金屯路桥建设有限公司（以简称金屯路桥）的合并，于2025年3月12日取得公路工程施工总承包壹级资质证书（以简称公路资质），有效期至2026年3月12日。根据《建筑业企业资质标准》、“建市规【2023】3号文”文件的规定（</w:t>
      </w:r>
      <w:r>
        <w:rPr>
          <w:rFonts w:hint="eastAsia" w:ascii="仿宋_GB2312" w:hAnsi="仿宋_GB2312" w:eastAsia="仿宋_GB2312" w:cs="仿宋_GB2312"/>
          <w:b/>
          <w:bCs/>
          <w:sz w:val="24"/>
          <w:szCs w:val="24"/>
          <w:lang w:val="en-US" w:eastAsia="zh-CN"/>
        </w:rPr>
        <w:t>企业因发生合并申请资质核定的，需对企业资产、人员及相关法律关系等情况进行考核</w:t>
      </w:r>
      <w:r>
        <w:rPr>
          <w:rFonts w:hint="eastAsia" w:ascii="仿宋_GB2312" w:hAnsi="仿宋_GB2312" w:eastAsia="仿宋_GB2312" w:cs="仿宋_GB2312"/>
          <w:sz w:val="24"/>
          <w:szCs w:val="24"/>
          <w:lang w:val="en-US" w:eastAsia="zh-CN"/>
        </w:rPr>
        <w:t>），结合住房和城乡建设部官网资质申报常见问题答复内容（</w:t>
      </w:r>
      <w:r>
        <w:rPr>
          <w:rFonts w:hint="default" w:ascii="仿宋_GB2312" w:hAnsi="仿宋_GB2312" w:eastAsia="仿宋_GB2312" w:cs="仿宋_GB2312"/>
          <w:b/>
          <w:bCs/>
          <w:sz w:val="24"/>
          <w:szCs w:val="24"/>
          <w:lang w:val="en-US" w:eastAsia="zh-CN"/>
        </w:rPr>
        <w:t>被吸收企业在申报时未完成工商注销登记的，合并后企业可取得有效期1年的资质证书。有效期内完成工商注销登记的，可按规定申请换发有效期5年的资质证书；逾期未注销或未提出换证申请的，其资证书作废</w:t>
      </w:r>
      <w:r>
        <w:rPr>
          <w:rFonts w:hint="eastAsia" w:ascii="仿宋_GB2312" w:hAnsi="仿宋_GB2312" w:eastAsia="仿宋_GB2312" w:cs="仿宋_GB2312"/>
          <w:sz w:val="24"/>
          <w:szCs w:val="24"/>
          <w:lang w:val="en-US" w:eastAsia="zh-CN"/>
        </w:rPr>
        <w:t>），我公司必需在公路资质有效期内换成具有5年有效期的资质证书。</w:t>
      </w:r>
    </w:p>
    <w:p w14:paraId="3FB2F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二、采购咨询服务单位的必须性</w:t>
      </w:r>
    </w:p>
    <w:p w14:paraId="3CF363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1、时间的紧迫性</w:t>
      </w:r>
    </w:p>
    <w:p w14:paraId="182308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金屯路桥营业执照公示与注销，至少需要1个月的时间；三库系统资料申报、审核1个月左右；省厅签发核准通过通知书，资料报住建部审核，时间2个月左右。按这个流程计算，我们公路资质要到2026年2月底才能换证成功，时间非常短，公路资质换证时间非常紧迫。</w:t>
      </w:r>
    </w:p>
    <w:p w14:paraId="25E98C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2、咨询服务单位的专业性</w:t>
      </w:r>
    </w:p>
    <w:p w14:paraId="52374E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（1）可提供全面的资质标准以及各种有关资质政策的解读，精准评估公司现有条件符合性，如企业资信、技术负责人、注册人员、技术装备等方面，并可提出针对性的改进建议；</w:t>
      </w:r>
    </w:p>
    <w:p w14:paraId="18B38A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（2）提供详细的申报材料清单，并指导我公司收集、整理所有基础证明材料；网上系统资料上传、数据的填报更具有专业性，可避免细微误差等带来的退件问题；</w:t>
      </w:r>
    </w:p>
    <w:p w14:paraId="2578F3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（3）在与相关主管部门的沟通、协调工作，及时跟进申报进度，反馈审批意见上具有灵活性、及时性、多渠道。</w:t>
      </w:r>
    </w:p>
    <w:p w14:paraId="469FB5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（4）应急问题的处理，如建造师一年内转注册次数、设备指标、申报被驳回等，负责分析原因，制定补救措施，提供解决方案，并指导完成补充材料及重新申报。</w:t>
      </w:r>
    </w:p>
    <w:p w14:paraId="12E014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综上所述，为确保我公司公路资质换证工作</w:t>
      </w:r>
      <w:r>
        <w:rPr>
          <w:rFonts w:hint="default" w:ascii="仿宋_GB2312" w:hAnsi="仿宋_GB2312" w:eastAsia="仿宋_GB2312" w:cs="仿宋_GB2312"/>
          <w:sz w:val="24"/>
          <w:szCs w:val="24"/>
          <w:lang w:val="en-US" w:eastAsia="zh-CN"/>
        </w:rPr>
        <w:t>高效、合规、一次性成功，避免因政策理解偏差、材料准备不齐或流程不熟导致换证失败</w:t>
      </w:r>
      <w:r>
        <w:rPr>
          <w:rFonts w:hint="eastAsia" w:ascii="仿宋_GB2312" w:hAnsi="仿宋_GB2312" w:eastAsia="仿宋_GB2312" w:cs="仿宋_GB2312"/>
          <w:sz w:val="24"/>
          <w:szCs w:val="24"/>
          <w:lang w:val="en-US" w:eastAsia="zh-CN"/>
        </w:rPr>
        <w:t>，有必要采购公路资质换证咨询服务单位。</w:t>
      </w:r>
    </w:p>
    <w:p w14:paraId="4F52C6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三、服务要求</w:t>
      </w:r>
    </w:p>
    <w:p w14:paraId="14B5EA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1、2026年3月12日前成功取得由主管部门核发的有效期为5年的建筑业企业资质证书。否则采购方不支付任何费用。</w:t>
      </w:r>
    </w:p>
    <w:p w14:paraId="4D09A4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2、中标咨询服务单位须提供以下全流程、全托式的专业服务：</w:t>
      </w:r>
    </w:p>
    <w:p w14:paraId="5683D6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（1）方案设计与合规审查：基于我司人员齐全的现状，提供详细的申报材料清单，制定最优申报方案，并对现有全部材料进行合规性预审，确保万无一失。</w:t>
      </w:r>
    </w:p>
    <w:p w14:paraId="1ACF59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（2）材料主导编制： 负责全部申报材料的精细化编制、校对与定稿，确保符合住建部最新标准与隐性要求。</w:t>
      </w:r>
    </w:p>
    <w:p w14:paraId="09CF9E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（3）系统申报与全程跟踪： 负责“广东三库一平台”和住建部申报软件的数据填报与维护，并全程跟踪申报进度，及时反馈。</w:t>
      </w:r>
    </w:p>
    <w:p w14:paraId="0C422D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（4）问题协调与响应： 如审批过程中遇到质询或补正要求或陈述，须提供专业解决方案并负责完成所有解释、说明及补正材料的编写与提交。</w:t>
      </w:r>
    </w:p>
    <w:p w14:paraId="217BD9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3、咨询服务单位必须对在执行本咨询服务过程中所接触到的我公司一切信息负有严格的保密义务。</w:t>
      </w:r>
    </w:p>
    <w:p w14:paraId="7F62C2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四、服务期限</w:t>
      </w:r>
    </w:p>
    <w:p w14:paraId="69FE01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合同签订之日起至我公司成功取得由主管部门核发的有效期为5年的建筑业企业资质证书，其中关键节点时间：</w:t>
      </w:r>
    </w:p>
    <w:p w14:paraId="07C8AA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1、合同签订后10个工作日内：完成全部材料初审与方案确认。</w:t>
      </w:r>
    </w:p>
    <w:p w14:paraId="491E5E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2、安徽金屯路桥注销完成后10个工作日内：完成全套申报材料的编制与定稿。</w:t>
      </w:r>
    </w:p>
    <w:p w14:paraId="27AE10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3、2026年2月1日前：完成审批流程，取得住建部资质审查意见的公示，且对我公司的资质审查意见为“同意”。</w:t>
      </w:r>
    </w:p>
    <w:p w14:paraId="2947B8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4、最终完成期限：2026年3月12日前，取得住建部核发的有效期为5年的建筑业企业资质证书。</w:t>
      </w:r>
    </w:p>
    <w:p w14:paraId="2B46E0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五、报价及付款方式</w:t>
      </w:r>
    </w:p>
    <w:p w14:paraId="147A84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sz w:val="24"/>
          <w:szCs w:val="24"/>
          <w:lang w:val="en-US" w:eastAsia="zh-CN"/>
        </w:rPr>
        <w:t>1、报价模式：拟采用服务费用固定总价包干制，包括为完成本需求书所述全部服务内容所需的成本、利润、税金等一切费用。</w:t>
      </w:r>
    </w:p>
    <w:p w14:paraId="7E50E4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2、支付方式</w:t>
      </w:r>
    </w:p>
    <w:p w14:paraId="7B6EAE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本次采购咨询服务不设预付款；</w:t>
      </w:r>
    </w:p>
    <w:p w14:paraId="7E7B2E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我公司成功取得住建部核发的有效期为5年的建筑业企业资质证书之日后10个工作日内，我公司一次性支付合同约定全额服务费用的100%（咨询服务单位在投标报价时，应充分考虑此付款方式下的资金成本与风险）。</w:t>
      </w:r>
    </w:p>
    <w:p w14:paraId="5DAC5C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六、资格要求</w:t>
      </w:r>
    </w:p>
    <w:p w14:paraId="060F42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szCs w:val="24"/>
        </w:rPr>
      </w:pPr>
      <w:r>
        <w:rPr>
          <w:rFonts w:hint="eastAsia" w:ascii="仿宋" w:hAnsi="仿宋" w:eastAsia="仿宋"/>
          <w:sz w:val="24"/>
          <w:szCs w:val="24"/>
        </w:rPr>
        <w:t>1、响应人须为在中华人民共和国境内登记注册的具有独立承担民事责任能力的法人或其他组织。【提供《营业执照》复印件（加盖公章）或《事业单位法人证书》复印件（加盖公章）或其他主体证书复印件（加盖公章）】</w:t>
      </w:r>
    </w:p>
    <w:p w14:paraId="1B6CF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、人员要求：响应人拟派项目负责人须具备</w:t>
      </w:r>
      <w:r>
        <w:rPr>
          <w:rFonts w:ascii="仿宋" w:hAnsi="仿宋" w:eastAsia="仿宋"/>
          <w:sz w:val="24"/>
          <w:szCs w:val="24"/>
          <w:u w:val="single"/>
        </w:rPr>
        <w:t xml:space="preserve"> </w:t>
      </w:r>
      <w:r>
        <w:rPr>
          <w:rFonts w:ascii="仿宋" w:hAnsi="仿宋" w:eastAsia="仿宋"/>
          <w:sz w:val="24"/>
          <w:szCs w:val="24"/>
          <w:u w:val="single"/>
          <w:lang w:val="en-US"/>
        </w:rPr>
        <w:t>5年以上住建部资质申报经验，并提供成功案例佐证</w:t>
      </w:r>
      <w:r>
        <w:rPr>
          <w:rFonts w:ascii="仿宋" w:hAnsi="仿宋" w:eastAsia="仿宋"/>
          <w:sz w:val="24"/>
          <w:szCs w:val="24"/>
          <w:u w:val="single"/>
        </w:rPr>
        <w:t xml:space="preserve"> </w:t>
      </w:r>
      <w:r>
        <w:rPr>
          <w:rFonts w:hint="eastAsia" w:ascii="仿宋" w:hAnsi="仿宋" w:eastAsia="仿宋"/>
          <w:sz w:val="24"/>
          <w:szCs w:val="24"/>
        </w:rPr>
        <w:t>。【提供</w:t>
      </w:r>
      <w:r>
        <w:rPr>
          <w:rFonts w:hint="eastAsia" w:ascii="仿宋" w:hAnsi="仿宋" w:eastAsia="仿宋"/>
          <w:sz w:val="24"/>
          <w:szCs w:val="24"/>
          <w:lang w:val="en-US" w:eastAsia="zh-CN"/>
        </w:rPr>
        <w:t>相关证明资料</w:t>
      </w:r>
      <w:r>
        <w:rPr>
          <w:rFonts w:hint="eastAsia" w:ascii="仿宋" w:hAnsi="仿宋" w:eastAsia="仿宋"/>
          <w:sz w:val="24"/>
          <w:szCs w:val="24"/>
        </w:rPr>
        <w:t>复印件（加盖公章）】</w:t>
      </w:r>
    </w:p>
    <w:p w14:paraId="1D3C4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 xml:space="preserve">具有依法缴纳税收和社会保障资金的良好记录。 </w:t>
      </w:r>
    </w:p>
    <w:p w14:paraId="67BF70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4、</w:t>
      </w:r>
      <w:r>
        <w:rPr>
          <w:rFonts w:hint="eastAsia" w:ascii="仿宋" w:hAnsi="仿宋" w:eastAsia="仿宋"/>
          <w:sz w:val="24"/>
          <w:szCs w:val="24"/>
        </w:rPr>
        <w:t>参加本次采购活动前三年内，在经营活动中没有重大违法</w:t>
      </w:r>
      <w:r>
        <w:rPr>
          <w:rFonts w:hint="eastAsia" w:ascii="仿宋" w:hAnsi="仿宋" w:eastAsia="仿宋"/>
          <w:sz w:val="24"/>
          <w:szCs w:val="24"/>
          <w:lang w:val="en-US" w:eastAsia="zh-CN"/>
        </w:rPr>
        <w:t>记录</w:t>
      </w:r>
    </w:p>
    <w:p w14:paraId="39DA52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color w:val="000000"/>
          <w:sz w:val="24"/>
          <w:szCs w:val="24"/>
        </w:rPr>
      </w:pPr>
      <w:r>
        <w:rPr>
          <w:rFonts w:hint="eastAsia" w:ascii="仿宋" w:hAnsi="仿宋" w:eastAsia="仿宋"/>
          <w:sz w:val="24"/>
          <w:szCs w:val="24"/>
          <w:lang w:val="en-US" w:eastAsia="zh-CN"/>
        </w:rPr>
        <w:t>5、未被列</w:t>
      </w:r>
      <w:r>
        <w:rPr>
          <w:rFonts w:hint="eastAsia" w:eastAsia="仿宋_GB2312"/>
          <w:color w:val="000000"/>
          <w:sz w:val="24"/>
          <w:szCs w:val="24"/>
        </w:rPr>
        <w:t>入东实集团及下属企</w:t>
      </w:r>
      <w:r>
        <w:rPr>
          <w:rFonts w:hint="eastAsia" w:eastAsia="仿宋_GB2312"/>
          <w:color w:val="auto"/>
          <w:sz w:val="24"/>
          <w:szCs w:val="24"/>
        </w:rPr>
        <w:t>业</w:t>
      </w:r>
      <w:r>
        <w:rPr>
          <w:rFonts w:hint="eastAsia" w:ascii="仿宋" w:hAnsi="仿宋" w:eastAsia="仿宋"/>
          <w:color w:val="auto"/>
          <w:sz w:val="24"/>
          <w:szCs w:val="24"/>
          <w:lang w:val="en-US" w:eastAsia="zh-CN"/>
        </w:rPr>
        <w:t>相关</w:t>
      </w:r>
      <w:r>
        <w:rPr>
          <w:rFonts w:hint="eastAsia" w:eastAsia="仿宋_GB2312"/>
          <w:color w:val="auto"/>
          <w:sz w:val="24"/>
          <w:szCs w:val="24"/>
        </w:rPr>
        <w:t>领域黑名单。【以东莞实业投资控股集团</w:t>
      </w:r>
      <w:r>
        <w:rPr>
          <w:rFonts w:hint="default" w:ascii="Times New Roman" w:hAnsi="Times New Roman" w:eastAsia="仿宋_GB2312" w:cs="Times New Roman"/>
          <w:color w:val="auto"/>
          <w:sz w:val="24"/>
          <w:szCs w:val="24"/>
        </w:rPr>
        <w:t>有限公司发文（东实通〔2021〕44号）、（东实通〔2021〕98号）</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（东实通〔2022〕75号）（东实通〔2023〕37号）</w:t>
      </w:r>
      <w:r>
        <w:rPr>
          <w:rFonts w:hint="default" w:ascii="Times New Roman" w:hAnsi="Times New Roman" w:eastAsia="仿宋_GB2312" w:cs="Times New Roman"/>
          <w:color w:val="auto"/>
          <w:sz w:val="24"/>
          <w:szCs w:val="24"/>
        </w:rPr>
        <w:t>为准</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如有最新发文通知，按最新文件执行。</w:t>
      </w:r>
      <w:r>
        <w:rPr>
          <w:rFonts w:hint="default" w:ascii="Times New Roman" w:hAnsi="Times New Roman" w:eastAsia="仿宋_GB2312" w:cs="Times New Roman"/>
          <w:color w:val="auto"/>
          <w:sz w:val="24"/>
          <w:szCs w:val="24"/>
        </w:rPr>
        <w:t>】</w:t>
      </w:r>
    </w:p>
    <w:p w14:paraId="611DB52B">
      <w:pPr>
        <w:pStyle w:val="2"/>
        <w:numPr>
          <w:ilvl w:val="0"/>
          <w:numId w:val="0"/>
        </w:numPr>
        <w:ind w:firstLine="720" w:firstLineChars="300"/>
        <w:rPr>
          <w:rFonts w:hint="default" w:ascii="宋体" w:hAnsi="宋体" w:cs="宋体"/>
          <w:color w:val="000000"/>
          <w:sz w:val="24"/>
          <w:lang w:val="en-US" w:eastAsia="zh-CN"/>
        </w:rPr>
      </w:pPr>
    </w:p>
    <w:p w14:paraId="18C43811">
      <w:pPr>
        <w:pStyle w:val="2"/>
        <w:numPr>
          <w:ilvl w:val="0"/>
          <w:numId w:val="0"/>
        </w:numPr>
        <w:ind w:firstLine="720" w:firstLineChars="300"/>
        <w:rPr>
          <w:rFonts w:hint="default" w:ascii="宋体" w:hAnsi="宋体" w:cs="宋体"/>
          <w:color w:val="000000"/>
          <w:sz w:val="24"/>
          <w:lang w:val="en-US" w:eastAsia="zh-CN"/>
        </w:rPr>
      </w:pPr>
    </w:p>
    <w:p w14:paraId="2BDF18B3">
      <w:pPr>
        <w:pStyle w:val="2"/>
        <w:numPr>
          <w:ilvl w:val="0"/>
          <w:numId w:val="0"/>
        </w:numPr>
        <w:ind w:firstLine="720" w:firstLineChars="300"/>
        <w:rPr>
          <w:rFonts w:hint="default" w:ascii="宋体" w:hAnsi="宋体" w:cs="宋体"/>
          <w:color w:val="000000"/>
          <w:sz w:val="24"/>
          <w:lang w:val="en-US" w:eastAsia="zh-CN"/>
        </w:rPr>
      </w:pPr>
    </w:p>
    <w:p w14:paraId="34A3E3C2">
      <w:pPr>
        <w:pStyle w:val="2"/>
        <w:numPr>
          <w:ilvl w:val="0"/>
          <w:numId w:val="0"/>
        </w:numPr>
        <w:ind w:firstLine="720" w:firstLineChars="300"/>
        <w:rPr>
          <w:rFonts w:hint="default" w:ascii="宋体" w:hAnsi="宋体" w:cs="宋体"/>
          <w:color w:val="000000"/>
          <w:sz w:val="24"/>
          <w:lang w:val="en-US" w:eastAsia="zh-CN"/>
        </w:rPr>
      </w:pPr>
    </w:p>
    <w:p w14:paraId="25E7A291">
      <w:pPr>
        <w:rPr>
          <w:rFonts w:hint="default" w:ascii="宋体" w:hAnsi="宋体" w:cs="宋体"/>
          <w:color w:val="000000"/>
          <w:sz w:val="24"/>
          <w:lang w:val="en-US" w:eastAsia="zh-CN"/>
        </w:rPr>
      </w:pPr>
      <w:r>
        <w:rPr>
          <w:rFonts w:hint="default" w:ascii="宋体" w:hAnsi="宋体" w:cs="宋体"/>
          <w:color w:val="000000"/>
          <w:sz w:val="24"/>
          <w:lang w:val="en-US" w:eastAsia="zh-CN"/>
        </w:rPr>
        <w:br w:type="page"/>
      </w:r>
    </w:p>
    <w:p w14:paraId="0E94A4DE">
      <w:pPr>
        <w:pStyle w:val="2"/>
        <w:numPr>
          <w:ilvl w:val="0"/>
          <w:numId w:val="0"/>
        </w:numPr>
        <w:rPr>
          <w:rFonts w:hint="default" w:ascii="宋体" w:hAnsi="宋体" w:cs="宋体"/>
          <w:color w:val="000000"/>
          <w:sz w:val="24"/>
          <w:lang w:val="en-US" w:eastAsia="zh-CN"/>
        </w:rPr>
      </w:pPr>
      <w:r>
        <w:rPr>
          <w:rFonts w:hint="eastAsia" w:ascii="宋体" w:hAnsi="宋体" w:cs="宋体"/>
          <w:color w:val="000000"/>
          <w:sz w:val="24"/>
          <w:lang w:val="en-US" w:eastAsia="zh-CN"/>
        </w:rPr>
        <w:t>附件4：已标价工程量清单</w:t>
      </w:r>
    </w:p>
    <w:p w14:paraId="328AE1DB">
      <w:pPr>
        <w:rPr>
          <w:rFonts w:hint="eastAsia" w:eastAsia="黑体"/>
          <w:b/>
          <w:bCs/>
          <w:color w:val="auto"/>
          <w:kern w:val="2"/>
          <w:sz w:val="32"/>
          <w:lang w:val="en-US" w:eastAsia="zh-CN"/>
        </w:rPr>
      </w:pPr>
    </w:p>
    <w:p w14:paraId="395E7E2F">
      <w:pPr>
        <w:rPr>
          <w:rFonts w:hint="eastAsia" w:eastAsia="黑体"/>
          <w:b/>
          <w:bCs/>
          <w:color w:val="auto"/>
          <w:kern w:val="2"/>
          <w:sz w:val="32"/>
          <w:lang w:val="en-US" w:eastAsia="zh-CN"/>
        </w:rPr>
      </w:pPr>
    </w:p>
    <w:p w14:paraId="78C53222">
      <w:pPr>
        <w:rPr>
          <w:rFonts w:hint="eastAsia" w:eastAsia="黑体"/>
          <w:b/>
          <w:bCs/>
          <w:color w:val="auto"/>
          <w:kern w:val="2"/>
          <w:sz w:val="32"/>
          <w:lang w:val="en-US" w:eastAsia="zh-CN"/>
        </w:rPr>
      </w:pPr>
    </w:p>
    <w:p w14:paraId="72154334">
      <w:pPr>
        <w:rPr>
          <w:rFonts w:hint="eastAsia" w:eastAsia="黑体"/>
          <w:b/>
          <w:bCs/>
          <w:color w:val="auto"/>
          <w:kern w:val="2"/>
          <w:sz w:val="32"/>
          <w:lang w:val="en-US" w:eastAsia="zh-CN"/>
        </w:rPr>
      </w:pPr>
    </w:p>
    <w:p w14:paraId="15DFF8AE">
      <w:pPr>
        <w:rPr>
          <w:rFonts w:hint="eastAsia" w:eastAsia="黑体"/>
          <w:b/>
          <w:bCs/>
          <w:color w:val="auto"/>
          <w:kern w:val="2"/>
          <w:sz w:val="32"/>
          <w:lang w:val="en-US" w:eastAsia="zh-CN"/>
        </w:rPr>
      </w:pPr>
    </w:p>
    <w:p w14:paraId="79D281A0">
      <w:pPr>
        <w:rPr>
          <w:rFonts w:hint="eastAsia" w:eastAsia="黑体"/>
          <w:b/>
          <w:bCs/>
          <w:color w:val="auto"/>
          <w:kern w:val="2"/>
          <w:sz w:val="32"/>
          <w:lang w:val="en-US" w:eastAsia="zh-CN"/>
        </w:rPr>
      </w:pPr>
    </w:p>
    <w:p w14:paraId="77AE3911">
      <w:pPr>
        <w:rPr>
          <w:rFonts w:hint="eastAsia" w:eastAsia="黑体"/>
          <w:b/>
          <w:bCs/>
          <w:color w:val="auto"/>
          <w:kern w:val="2"/>
          <w:sz w:val="32"/>
          <w:lang w:val="en-US" w:eastAsia="zh-CN"/>
        </w:rPr>
      </w:pPr>
    </w:p>
    <w:sectPr>
      <w:headerReference r:id="rId4" w:type="default"/>
      <w:footerReference r:id="rId5" w:type="default"/>
      <w:pgSz w:w="11907" w:h="16840"/>
      <w:pgMar w:top="1135" w:right="1134" w:bottom="851" w:left="1418" w:header="851" w:footer="1191" w:gutter="0"/>
      <w:pgNumType w:fmt="decimal"/>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7AEC64A-224A-4111-86C1-08D0FBBC6A6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C035B08D-EB37-44CC-A2D4-66F5E7A99F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5B7E8EC8-F476-4891-B3C2-976A658A3B7B}"/>
  </w:font>
  <w:font w:name="Cambria">
    <w:panose1 w:val="02040503050406030204"/>
    <w:charset w:val="00"/>
    <w:family w:val="roman"/>
    <w:pitch w:val="default"/>
    <w:sig w:usb0="E00006FF" w:usb1="420024FF" w:usb2="02000000" w:usb3="00000000" w:csb0="2000019F" w:csb1="00000000"/>
  </w:font>
  <w:font w:name="MetaPlusLF">
    <w:altName w:val="Times New Roman"/>
    <w:panose1 w:val="00000000000000000000"/>
    <w:charset w:val="00"/>
    <w:family w:val="auto"/>
    <w:pitch w:val="default"/>
    <w:sig w:usb0="00000000" w:usb1="00000000" w:usb2="00000000" w:usb3="00000000" w:csb0="00000097"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embedRegular r:id="rId4" w:fontKey="{E2ECD7B1-BFA2-4EEC-B70F-29FCAC67DF8C}"/>
  </w:font>
  <w:font w:name="仿宋">
    <w:panose1 w:val="02010609060101010101"/>
    <w:charset w:val="86"/>
    <w:family w:val="modern"/>
    <w:pitch w:val="default"/>
    <w:sig w:usb0="800002BF" w:usb1="38CF7CFA" w:usb2="00000016" w:usb3="00000000" w:csb0="00040001" w:csb1="00000000"/>
    <w:embedRegular r:id="rId5" w:fontKey="{40596E00-042C-4CE5-800A-68AB2F43E370}"/>
  </w:font>
  <w:font w:name="楷体_GB2312">
    <w:altName w:val="楷体"/>
    <w:panose1 w:val="02010609030101010101"/>
    <w:charset w:val="86"/>
    <w:family w:val="auto"/>
    <w:pitch w:val="default"/>
    <w:sig w:usb0="00000000" w:usb1="00000000" w:usb2="00000000" w:usb3="00000000" w:csb0="00040000" w:csb1="00000000"/>
    <w:embedRegular r:id="rId6" w:fontKey="{DDB044F1-CF5E-4FE8-BACE-CAA56122D4E5}"/>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7" w:fontKey="{8929105F-A7B6-4631-9EBA-DF35CA310D63}"/>
  </w:font>
  <w:font w:name="华文中宋">
    <w:panose1 w:val="02010600040101010101"/>
    <w:charset w:val="86"/>
    <w:family w:val="auto"/>
    <w:pitch w:val="default"/>
    <w:sig w:usb0="00000287" w:usb1="080F0000" w:usb2="00000000" w:usb3="00000000" w:csb0="0004009F" w:csb1="DFD70000"/>
    <w:embedRegular r:id="rId8" w:fontKey="{73A74A6E-0F54-4390-9044-CF1625286B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6E1">
    <w:pPr>
      <w:pStyle w:val="1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882E59">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882E59">
                    <w:pPr>
                      <w:pStyle w:val="15"/>
                    </w:pPr>
                    <w:r>
                      <w:fldChar w:fldCharType="begin"/>
                    </w:r>
                    <w:r>
                      <w:instrText xml:space="preserve"> PAGE  \* MERGEFORMAT </w:instrText>
                    </w:r>
                    <w:r>
                      <w:fldChar w:fldCharType="separate"/>
                    </w:r>
                    <w:r>
                      <w:t>1</w:t>
                    </w:r>
                    <w:r>
                      <w:fldChar w:fldCharType="end"/>
                    </w:r>
                  </w:p>
                </w:txbxContent>
              </v:textbox>
            </v:shape>
          </w:pict>
        </mc:Fallback>
      </mc:AlternateContent>
    </w:r>
  </w:p>
  <w:p w14:paraId="55687144">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D2B4">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ADC3B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ADC3B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09B7">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E6F"/>
    <w:multiLevelType w:val="multilevel"/>
    <w:tmpl w:val="02BA4E6F"/>
    <w:lvl w:ilvl="0" w:tentative="0">
      <w:start w:val="1"/>
      <w:numFmt w:val="bullet"/>
      <w:pStyle w:val="59"/>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099A159"/>
    <w:multiLevelType w:val="singleLevel"/>
    <w:tmpl w:val="6099A159"/>
    <w:lvl w:ilvl="0" w:tentative="0">
      <w:start w:val="1"/>
      <w:numFmt w:val="decimal"/>
      <w:suff w:val="nothing"/>
      <w:lvlText w:val="%1、"/>
      <w:lvlJc w:val="left"/>
      <w:pPr>
        <w:ind w:left="150"/>
      </w:pPr>
      <w:rPr>
        <w:rFonts w:cs="Times New Roman"/>
      </w:rPr>
    </w:lvl>
  </w:abstractNum>
  <w:abstractNum w:abstractNumId="2">
    <w:nsid w:val="68B40337"/>
    <w:multiLevelType w:val="multilevel"/>
    <w:tmpl w:val="68B40337"/>
    <w:lvl w:ilvl="0" w:tentative="0">
      <w:start w:val="1"/>
      <w:numFmt w:val="japaneseCounting"/>
      <w:pStyle w:val="50"/>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jMTY3NjZjYzhhMTI2OTFhOGViZTYyMWUzMDlhZjMifQ=="/>
  </w:docVars>
  <w:rsids>
    <w:rsidRoot w:val="00BD5ED0"/>
    <w:rsid w:val="00005B73"/>
    <w:rsid w:val="00012BFA"/>
    <w:rsid w:val="000164E6"/>
    <w:rsid w:val="00035F8F"/>
    <w:rsid w:val="00045122"/>
    <w:rsid w:val="000503CE"/>
    <w:rsid w:val="000535B8"/>
    <w:rsid w:val="00055419"/>
    <w:rsid w:val="000616CD"/>
    <w:rsid w:val="00063F50"/>
    <w:rsid w:val="000679B7"/>
    <w:rsid w:val="00074383"/>
    <w:rsid w:val="00077653"/>
    <w:rsid w:val="000930FE"/>
    <w:rsid w:val="000941B8"/>
    <w:rsid w:val="0009582E"/>
    <w:rsid w:val="000A0257"/>
    <w:rsid w:val="000A0DFB"/>
    <w:rsid w:val="000B72CC"/>
    <w:rsid w:val="000B7B60"/>
    <w:rsid w:val="000B7FE4"/>
    <w:rsid w:val="000C0834"/>
    <w:rsid w:val="000C2B30"/>
    <w:rsid w:val="000C2D95"/>
    <w:rsid w:val="000C327D"/>
    <w:rsid w:val="000C4264"/>
    <w:rsid w:val="000C5B5B"/>
    <w:rsid w:val="000D2A43"/>
    <w:rsid w:val="000D2D57"/>
    <w:rsid w:val="000D4735"/>
    <w:rsid w:val="000D6353"/>
    <w:rsid w:val="000E7D7C"/>
    <w:rsid w:val="000F2427"/>
    <w:rsid w:val="000F2FC6"/>
    <w:rsid w:val="000F4060"/>
    <w:rsid w:val="000F575A"/>
    <w:rsid w:val="00101319"/>
    <w:rsid w:val="0010706E"/>
    <w:rsid w:val="00115B17"/>
    <w:rsid w:val="0012090D"/>
    <w:rsid w:val="00124D32"/>
    <w:rsid w:val="001264A1"/>
    <w:rsid w:val="00131E92"/>
    <w:rsid w:val="00136549"/>
    <w:rsid w:val="00137A41"/>
    <w:rsid w:val="00143273"/>
    <w:rsid w:val="0014433E"/>
    <w:rsid w:val="001446F0"/>
    <w:rsid w:val="0014722B"/>
    <w:rsid w:val="0014729E"/>
    <w:rsid w:val="00152F22"/>
    <w:rsid w:val="00153F65"/>
    <w:rsid w:val="00156EF1"/>
    <w:rsid w:val="00157353"/>
    <w:rsid w:val="0016352B"/>
    <w:rsid w:val="0016665E"/>
    <w:rsid w:val="00170C97"/>
    <w:rsid w:val="0017142D"/>
    <w:rsid w:val="00175372"/>
    <w:rsid w:val="00182942"/>
    <w:rsid w:val="001844CB"/>
    <w:rsid w:val="00191009"/>
    <w:rsid w:val="00191E64"/>
    <w:rsid w:val="001925E5"/>
    <w:rsid w:val="00193F95"/>
    <w:rsid w:val="00196FE0"/>
    <w:rsid w:val="001A2C93"/>
    <w:rsid w:val="001A45EA"/>
    <w:rsid w:val="001A5AE5"/>
    <w:rsid w:val="001B09E7"/>
    <w:rsid w:val="001B6B51"/>
    <w:rsid w:val="001C22FD"/>
    <w:rsid w:val="001C279B"/>
    <w:rsid w:val="001C6622"/>
    <w:rsid w:val="001D0EAA"/>
    <w:rsid w:val="001D0FE8"/>
    <w:rsid w:val="001D6AB7"/>
    <w:rsid w:val="001E5549"/>
    <w:rsid w:val="001E7603"/>
    <w:rsid w:val="001F5BEA"/>
    <w:rsid w:val="001F7CAF"/>
    <w:rsid w:val="002000CE"/>
    <w:rsid w:val="002008CC"/>
    <w:rsid w:val="00204419"/>
    <w:rsid w:val="00205F12"/>
    <w:rsid w:val="00210BCF"/>
    <w:rsid w:val="00215784"/>
    <w:rsid w:val="00215DF7"/>
    <w:rsid w:val="00220762"/>
    <w:rsid w:val="0022330A"/>
    <w:rsid w:val="00227F02"/>
    <w:rsid w:val="00231A8A"/>
    <w:rsid w:val="002355B4"/>
    <w:rsid w:val="00235976"/>
    <w:rsid w:val="002368CE"/>
    <w:rsid w:val="00236E54"/>
    <w:rsid w:val="00237233"/>
    <w:rsid w:val="00243458"/>
    <w:rsid w:val="00244C63"/>
    <w:rsid w:val="002502B9"/>
    <w:rsid w:val="0025172C"/>
    <w:rsid w:val="00251A1B"/>
    <w:rsid w:val="00254E0E"/>
    <w:rsid w:val="002660E2"/>
    <w:rsid w:val="0026670C"/>
    <w:rsid w:val="00272C17"/>
    <w:rsid w:val="0027714D"/>
    <w:rsid w:val="002905F7"/>
    <w:rsid w:val="00291E40"/>
    <w:rsid w:val="002941DB"/>
    <w:rsid w:val="002A05DD"/>
    <w:rsid w:val="002A1D9A"/>
    <w:rsid w:val="002A32EA"/>
    <w:rsid w:val="002A4476"/>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FC7"/>
    <w:rsid w:val="00331421"/>
    <w:rsid w:val="003432FF"/>
    <w:rsid w:val="003440B1"/>
    <w:rsid w:val="003467AD"/>
    <w:rsid w:val="00352F0E"/>
    <w:rsid w:val="003542F4"/>
    <w:rsid w:val="00354C22"/>
    <w:rsid w:val="00356D07"/>
    <w:rsid w:val="00363811"/>
    <w:rsid w:val="003776A2"/>
    <w:rsid w:val="00393456"/>
    <w:rsid w:val="00393F27"/>
    <w:rsid w:val="00396DB6"/>
    <w:rsid w:val="003A7705"/>
    <w:rsid w:val="003B3AD8"/>
    <w:rsid w:val="003B6841"/>
    <w:rsid w:val="003B7AE8"/>
    <w:rsid w:val="003C2315"/>
    <w:rsid w:val="003C349E"/>
    <w:rsid w:val="003C371F"/>
    <w:rsid w:val="003C5F72"/>
    <w:rsid w:val="003E06C5"/>
    <w:rsid w:val="003E3EEF"/>
    <w:rsid w:val="003E4DE6"/>
    <w:rsid w:val="003F4157"/>
    <w:rsid w:val="003F7A36"/>
    <w:rsid w:val="00404AF8"/>
    <w:rsid w:val="00407262"/>
    <w:rsid w:val="004113A9"/>
    <w:rsid w:val="00412BC5"/>
    <w:rsid w:val="0042773C"/>
    <w:rsid w:val="004321F7"/>
    <w:rsid w:val="004333CD"/>
    <w:rsid w:val="004407A6"/>
    <w:rsid w:val="00445796"/>
    <w:rsid w:val="004504C6"/>
    <w:rsid w:val="00454378"/>
    <w:rsid w:val="00455511"/>
    <w:rsid w:val="00460621"/>
    <w:rsid w:val="00463047"/>
    <w:rsid w:val="00476704"/>
    <w:rsid w:val="0048157A"/>
    <w:rsid w:val="0048198F"/>
    <w:rsid w:val="00481EBF"/>
    <w:rsid w:val="00484829"/>
    <w:rsid w:val="00484B15"/>
    <w:rsid w:val="00485FBD"/>
    <w:rsid w:val="00486C6C"/>
    <w:rsid w:val="00490A12"/>
    <w:rsid w:val="00491E00"/>
    <w:rsid w:val="00496744"/>
    <w:rsid w:val="00497C31"/>
    <w:rsid w:val="004A699E"/>
    <w:rsid w:val="004B145E"/>
    <w:rsid w:val="004B66ED"/>
    <w:rsid w:val="004B7C4E"/>
    <w:rsid w:val="004C3A44"/>
    <w:rsid w:val="004D17EB"/>
    <w:rsid w:val="004D1C1A"/>
    <w:rsid w:val="004D2CEB"/>
    <w:rsid w:val="004E611C"/>
    <w:rsid w:val="004E7081"/>
    <w:rsid w:val="004F2DA5"/>
    <w:rsid w:val="004F3897"/>
    <w:rsid w:val="004F5933"/>
    <w:rsid w:val="004F717F"/>
    <w:rsid w:val="0050381E"/>
    <w:rsid w:val="00507325"/>
    <w:rsid w:val="005115E1"/>
    <w:rsid w:val="00513E78"/>
    <w:rsid w:val="0052004C"/>
    <w:rsid w:val="00520138"/>
    <w:rsid w:val="005210A5"/>
    <w:rsid w:val="005371FF"/>
    <w:rsid w:val="005461F1"/>
    <w:rsid w:val="0055263C"/>
    <w:rsid w:val="00560A5A"/>
    <w:rsid w:val="00561B95"/>
    <w:rsid w:val="00565B17"/>
    <w:rsid w:val="0058123D"/>
    <w:rsid w:val="00590112"/>
    <w:rsid w:val="005968DF"/>
    <w:rsid w:val="005A4E94"/>
    <w:rsid w:val="005A74C6"/>
    <w:rsid w:val="005B1ED5"/>
    <w:rsid w:val="005B3EF9"/>
    <w:rsid w:val="005B48FC"/>
    <w:rsid w:val="005B7F8E"/>
    <w:rsid w:val="005C161C"/>
    <w:rsid w:val="005C320D"/>
    <w:rsid w:val="005C6227"/>
    <w:rsid w:val="005E2D48"/>
    <w:rsid w:val="005E3228"/>
    <w:rsid w:val="005F1911"/>
    <w:rsid w:val="005F3328"/>
    <w:rsid w:val="005F55FA"/>
    <w:rsid w:val="00604A1A"/>
    <w:rsid w:val="00605737"/>
    <w:rsid w:val="00610E99"/>
    <w:rsid w:val="00611986"/>
    <w:rsid w:val="006155F4"/>
    <w:rsid w:val="0063300F"/>
    <w:rsid w:val="00633DF9"/>
    <w:rsid w:val="00635B18"/>
    <w:rsid w:val="00636600"/>
    <w:rsid w:val="00640CD1"/>
    <w:rsid w:val="0064381D"/>
    <w:rsid w:val="0065355D"/>
    <w:rsid w:val="0066677A"/>
    <w:rsid w:val="006778F7"/>
    <w:rsid w:val="00677B79"/>
    <w:rsid w:val="00681EC9"/>
    <w:rsid w:val="006942F8"/>
    <w:rsid w:val="0069444D"/>
    <w:rsid w:val="006A260A"/>
    <w:rsid w:val="006A33C7"/>
    <w:rsid w:val="006A736D"/>
    <w:rsid w:val="006B507A"/>
    <w:rsid w:val="006C19C7"/>
    <w:rsid w:val="006C1DD0"/>
    <w:rsid w:val="006C65B6"/>
    <w:rsid w:val="006C6BDE"/>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3B54"/>
    <w:rsid w:val="0074619F"/>
    <w:rsid w:val="007469CE"/>
    <w:rsid w:val="00750139"/>
    <w:rsid w:val="00751FC1"/>
    <w:rsid w:val="007564D3"/>
    <w:rsid w:val="00756C95"/>
    <w:rsid w:val="00757900"/>
    <w:rsid w:val="00762CB4"/>
    <w:rsid w:val="00770201"/>
    <w:rsid w:val="007722DD"/>
    <w:rsid w:val="00782C1C"/>
    <w:rsid w:val="00786D41"/>
    <w:rsid w:val="00794F11"/>
    <w:rsid w:val="007953EE"/>
    <w:rsid w:val="00795505"/>
    <w:rsid w:val="00797AC3"/>
    <w:rsid w:val="007A5BEF"/>
    <w:rsid w:val="007A6E42"/>
    <w:rsid w:val="007A6F56"/>
    <w:rsid w:val="007B3FFC"/>
    <w:rsid w:val="007C0745"/>
    <w:rsid w:val="007C1731"/>
    <w:rsid w:val="007C258B"/>
    <w:rsid w:val="007C518E"/>
    <w:rsid w:val="007D10A1"/>
    <w:rsid w:val="007D2618"/>
    <w:rsid w:val="007E0968"/>
    <w:rsid w:val="007E314C"/>
    <w:rsid w:val="007E31BF"/>
    <w:rsid w:val="007E751A"/>
    <w:rsid w:val="007E7F57"/>
    <w:rsid w:val="007F10A8"/>
    <w:rsid w:val="007F3ECB"/>
    <w:rsid w:val="007F6003"/>
    <w:rsid w:val="007F6810"/>
    <w:rsid w:val="007F74D9"/>
    <w:rsid w:val="008028C3"/>
    <w:rsid w:val="00803F4C"/>
    <w:rsid w:val="00806D35"/>
    <w:rsid w:val="008107BC"/>
    <w:rsid w:val="008139B0"/>
    <w:rsid w:val="00816D3B"/>
    <w:rsid w:val="00833C18"/>
    <w:rsid w:val="0083445B"/>
    <w:rsid w:val="0083540F"/>
    <w:rsid w:val="00837F4F"/>
    <w:rsid w:val="00846B12"/>
    <w:rsid w:val="00847E4A"/>
    <w:rsid w:val="0085035E"/>
    <w:rsid w:val="00852823"/>
    <w:rsid w:val="00854E40"/>
    <w:rsid w:val="008558E9"/>
    <w:rsid w:val="0085632D"/>
    <w:rsid w:val="00864EBB"/>
    <w:rsid w:val="00865807"/>
    <w:rsid w:val="0087416D"/>
    <w:rsid w:val="00880ADA"/>
    <w:rsid w:val="00880D0D"/>
    <w:rsid w:val="0088194E"/>
    <w:rsid w:val="00883D24"/>
    <w:rsid w:val="00886C0D"/>
    <w:rsid w:val="008908B3"/>
    <w:rsid w:val="00890C1B"/>
    <w:rsid w:val="008922C7"/>
    <w:rsid w:val="008924EB"/>
    <w:rsid w:val="008A17BF"/>
    <w:rsid w:val="008A2C80"/>
    <w:rsid w:val="008A5E76"/>
    <w:rsid w:val="008B0C71"/>
    <w:rsid w:val="008B368D"/>
    <w:rsid w:val="008C2811"/>
    <w:rsid w:val="008C6743"/>
    <w:rsid w:val="008D0DC7"/>
    <w:rsid w:val="008D19F7"/>
    <w:rsid w:val="008D2EAB"/>
    <w:rsid w:val="008D4710"/>
    <w:rsid w:val="008D517E"/>
    <w:rsid w:val="008D6B16"/>
    <w:rsid w:val="008E3B0E"/>
    <w:rsid w:val="008E4625"/>
    <w:rsid w:val="008E718F"/>
    <w:rsid w:val="008E71DF"/>
    <w:rsid w:val="008F00D0"/>
    <w:rsid w:val="008F36EF"/>
    <w:rsid w:val="008F44F8"/>
    <w:rsid w:val="008F5E1F"/>
    <w:rsid w:val="008F63E9"/>
    <w:rsid w:val="009009AA"/>
    <w:rsid w:val="00902E6B"/>
    <w:rsid w:val="0090741A"/>
    <w:rsid w:val="00910321"/>
    <w:rsid w:val="00911170"/>
    <w:rsid w:val="009137D0"/>
    <w:rsid w:val="009160E2"/>
    <w:rsid w:val="00921906"/>
    <w:rsid w:val="00925020"/>
    <w:rsid w:val="00926ED4"/>
    <w:rsid w:val="00927186"/>
    <w:rsid w:val="0093182D"/>
    <w:rsid w:val="00932531"/>
    <w:rsid w:val="00932C9F"/>
    <w:rsid w:val="00932F10"/>
    <w:rsid w:val="009437E8"/>
    <w:rsid w:val="00943A2D"/>
    <w:rsid w:val="009447CA"/>
    <w:rsid w:val="00951AD3"/>
    <w:rsid w:val="00964A4B"/>
    <w:rsid w:val="0096611E"/>
    <w:rsid w:val="009673AF"/>
    <w:rsid w:val="009772B9"/>
    <w:rsid w:val="00984E18"/>
    <w:rsid w:val="00985E72"/>
    <w:rsid w:val="00996D73"/>
    <w:rsid w:val="0099786D"/>
    <w:rsid w:val="009B324A"/>
    <w:rsid w:val="009B38A1"/>
    <w:rsid w:val="009B3D46"/>
    <w:rsid w:val="009C67B7"/>
    <w:rsid w:val="009C6F7D"/>
    <w:rsid w:val="009D2A2D"/>
    <w:rsid w:val="009F03D0"/>
    <w:rsid w:val="009F34D1"/>
    <w:rsid w:val="009F67E6"/>
    <w:rsid w:val="009F7302"/>
    <w:rsid w:val="00A105F4"/>
    <w:rsid w:val="00A11CF1"/>
    <w:rsid w:val="00A20D53"/>
    <w:rsid w:val="00A2111B"/>
    <w:rsid w:val="00A25FAB"/>
    <w:rsid w:val="00A31649"/>
    <w:rsid w:val="00A34A4A"/>
    <w:rsid w:val="00A36417"/>
    <w:rsid w:val="00A40F11"/>
    <w:rsid w:val="00A43898"/>
    <w:rsid w:val="00A450CE"/>
    <w:rsid w:val="00A46C5D"/>
    <w:rsid w:val="00A5612B"/>
    <w:rsid w:val="00A6082D"/>
    <w:rsid w:val="00A63294"/>
    <w:rsid w:val="00A65973"/>
    <w:rsid w:val="00A71EF2"/>
    <w:rsid w:val="00A72D1C"/>
    <w:rsid w:val="00A74EE0"/>
    <w:rsid w:val="00A76643"/>
    <w:rsid w:val="00A7749C"/>
    <w:rsid w:val="00A7786F"/>
    <w:rsid w:val="00A820BE"/>
    <w:rsid w:val="00A861CA"/>
    <w:rsid w:val="00A87C81"/>
    <w:rsid w:val="00A95B2F"/>
    <w:rsid w:val="00A96A59"/>
    <w:rsid w:val="00AB24A2"/>
    <w:rsid w:val="00AB4398"/>
    <w:rsid w:val="00AB7DBB"/>
    <w:rsid w:val="00AC1ADC"/>
    <w:rsid w:val="00AC2E6F"/>
    <w:rsid w:val="00AC3A72"/>
    <w:rsid w:val="00AD016B"/>
    <w:rsid w:val="00AD0A3F"/>
    <w:rsid w:val="00AD0D60"/>
    <w:rsid w:val="00AD2C6E"/>
    <w:rsid w:val="00AF04F6"/>
    <w:rsid w:val="00AF089C"/>
    <w:rsid w:val="00AF20AC"/>
    <w:rsid w:val="00B01550"/>
    <w:rsid w:val="00B02242"/>
    <w:rsid w:val="00B04A3E"/>
    <w:rsid w:val="00B07B72"/>
    <w:rsid w:val="00B12A96"/>
    <w:rsid w:val="00B132E4"/>
    <w:rsid w:val="00B148F2"/>
    <w:rsid w:val="00B14C6E"/>
    <w:rsid w:val="00B16EE8"/>
    <w:rsid w:val="00B20140"/>
    <w:rsid w:val="00B218FE"/>
    <w:rsid w:val="00B21C59"/>
    <w:rsid w:val="00B244A1"/>
    <w:rsid w:val="00B3448D"/>
    <w:rsid w:val="00B41A9A"/>
    <w:rsid w:val="00B43AE8"/>
    <w:rsid w:val="00B44107"/>
    <w:rsid w:val="00B44693"/>
    <w:rsid w:val="00B506AF"/>
    <w:rsid w:val="00B54259"/>
    <w:rsid w:val="00B54CE6"/>
    <w:rsid w:val="00B54F0B"/>
    <w:rsid w:val="00B64CDD"/>
    <w:rsid w:val="00B67CEE"/>
    <w:rsid w:val="00B72957"/>
    <w:rsid w:val="00B73956"/>
    <w:rsid w:val="00B75E79"/>
    <w:rsid w:val="00B8143C"/>
    <w:rsid w:val="00B87690"/>
    <w:rsid w:val="00B87F6F"/>
    <w:rsid w:val="00B9040F"/>
    <w:rsid w:val="00B92C68"/>
    <w:rsid w:val="00B95683"/>
    <w:rsid w:val="00B979FB"/>
    <w:rsid w:val="00BB21E0"/>
    <w:rsid w:val="00BB526C"/>
    <w:rsid w:val="00BC18B3"/>
    <w:rsid w:val="00BC1A2B"/>
    <w:rsid w:val="00BC1BB2"/>
    <w:rsid w:val="00BD5ED0"/>
    <w:rsid w:val="00BE5655"/>
    <w:rsid w:val="00BE62B0"/>
    <w:rsid w:val="00BF2792"/>
    <w:rsid w:val="00BF4097"/>
    <w:rsid w:val="00BF4AA9"/>
    <w:rsid w:val="00C02C8D"/>
    <w:rsid w:val="00C11DC8"/>
    <w:rsid w:val="00C139AD"/>
    <w:rsid w:val="00C1766C"/>
    <w:rsid w:val="00C26BEC"/>
    <w:rsid w:val="00C33174"/>
    <w:rsid w:val="00C36E31"/>
    <w:rsid w:val="00C4146E"/>
    <w:rsid w:val="00C446A4"/>
    <w:rsid w:val="00C51F11"/>
    <w:rsid w:val="00C54610"/>
    <w:rsid w:val="00C607E8"/>
    <w:rsid w:val="00C60F7D"/>
    <w:rsid w:val="00C77966"/>
    <w:rsid w:val="00C802A7"/>
    <w:rsid w:val="00C84880"/>
    <w:rsid w:val="00C85381"/>
    <w:rsid w:val="00C85EFB"/>
    <w:rsid w:val="00C85FDF"/>
    <w:rsid w:val="00C86EDD"/>
    <w:rsid w:val="00C87974"/>
    <w:rsid w:val="00C91C90"/>
    <w:rsid w:val="00C9344C"/>
    <w:rsid w:val="00C94273"/>
    <w:rsid w:val="00CA3ADD"/>
    <w:rsid w:val="00CB1476"/>
    <w:rsid w:val="00CB169A"/>
    <w:rsid w:val="00CC5F7C"/>
    <w:rsid w:val="00CD057C"/>
    <w:rsid w:val="00CD1128"/>
    <w:rsid w:val="00CD2C7B"/>
    <w:rsid w:val="00CE2BC2"/>
    <w:rsid w:val="00CE36C4"/>
    <w:rsid w:val="00CE48DB"/>
    <w:rsid w:val="00CE533B"/>
    <w:rsid w:val="00CF0841"/>
    <w:rsid w:val="00CF1208"/>
    <w:rsid w:val="00D04F3B"/>
    <w:rsid w:val="00D11EB7"/>
    <w:rsid w:val="00D22FB3"/>
    <w:rsid w:val="00D2717E"/>
    <w:rsid w:val="00D320E7"/>
    <w:rsid w:val="00D3269F"/>
    <w:rsid w:val="00D36416"/>
    <w:rsid w:val="00D418BC"/>
    <w:rsid w:val="00D45A27"/>
    <w:rsid w:val="00D46E62"/>
    <w:rsid w:val="00D52541"/>
    <w:rsid w:val="00D54BA0"/>
    <w:rsid w:val="00D608D9"/>
    <w:rsid w:val="00D634C8"/>
    <w:rsid w:val="00D64B79"/>
    <w:rsid w:val="00D66E24"/>
    <w:rsid w:val="00D76D4E"/>
    <w:rsid w:val="00D806A3"/>
    <w:rsid w:val="00D814B6"/>
    <w:rsid w:val="00D8399F"/>
    <w:rsid w:val="00D84FE2"/>
    <w:rsid w:val="00D92409"/>
    <w:rsid w:val="00D95914"/>
    <w:rsid w:val="00DA1560"/>
    <w:rsid w:val="00DA3184"/>
    <w:rsid w:val="00DA5E27"/>
    <w:rsid w:val="00DA65EE"/>
    <w:rsid w:val="00DA7E5B"/>
    <w:rsid w:val="00DB0309"/>
    <w:rsid w:val="00DB6E4E"/>
    <w:rsid w:val="00DC5744"/>
    <w:rsid w:val="00DC619A"/>
    <w:rsid w:val="00DC7FC2"/>
    <w:rsid w:val="00DD2DB5"/>
    <w:rsid w:val="00DD2E0C"/>
    <w:rsid w:val="00DD3DB6"/>
    <w:rsid w:val="00DD4ED1"/>
    <w:rsid w:val="00DD686B"/>
    <w:rsid w:val="00DE3373"/>
    <w:rsid w:val="00DE654E"/>
    <w:rsid w:val="00DE6B3D"/>
    <w:rsid w:val="00DE72B9"/>
    <w:rsid w:val="00DF11FD"/>
    <w:rsid w:val="00DF4ECA"/>
    <w:rsid w:val="00DF5183"/>
    <w:rsid w:val="00DF6697"/>
    <w:rsid w:val="00DF7AB5"/>
    <w:rsid w:val="00DF7F0A"/>
    <w:rsid w:val="00E11376"/>
    <w:rsid w:val="00E21013"/>
    <w:rsid w:val="00E21941"/>
    <w:rsid w:val="00E30D18"/>
    <w:rsid w:val="00E425F9"/>
    <w:rsid w:val="00E444B2"/>
    <w:rsid w:val="00E50267"/>
    <w:rsid w:val="00E55C56"/>
    <w:rsid w:val="00E570B0"/>
    <w:rsid w:val="00E604F7"/>
    <w:rsid w:val="00E65448"/>
    <w:rsid w:val="00E678F0"/>
    <w:rsid w:val="00E71C8B"/>
    <w:rsid w:val="00E762DB"/>
    <w:rsid w:val="00E76DF9"/>
    <w:rsid w:val="00E76EA8"/>
    <w:rsid w:val="00E82677"/>
    <w:rsid w:val="00E85FE3"/>
    <w:rsid w:val="00E87D58"/>
    <w:rsid w:val="00E9124A"/>
    <w:rsid w:val="00E91BC8"/>
    <w:rsid w:val="00EA6B31"/>
    <w:rsid w:val="00EC0694"/>
    <w:rsid w:val="00EC1E4F"/>
    <w:rsid w:val="00EC5723"/>
    <w:rsid w:val="00EC5DF0"/>
    <w:rsid w:val="00ED43D8"/>
    <w:rsid w:val="00EE1FB9"/>
    <w:rsid w:val="00EE2A12"/>
    <w:rsid w:val="00EE3F96"/>
    <w:rsid w:val="00EE5B35"/>
    <w:rsid w:val="00EE7FAE"/>
    <w:rsid w:val="00EF409F"/>
    <w:rsid w:val="00EF491C"/>
    <w:rsid w:val="00EF6DB2"/>
    <w:rsid w:val="00F059EF"/>
    <w:rsid w:val="00F06DF3"/>
    <w:rsid w:val="00F10281"/>
    <w:rsid w:val="00F12122"/>
    <w:rsid w:val="00F13805"/>
    <w:rsid w:val="00F15584"/>
    <w:rsid w:val="00F163D7"/>
    <w:rsid w:val="00F236A2"/>
    <w:rsid w:val="00F25AA0"/>
    <w:rsid w:val="00F27EC3"/>
    <w:rsid w:val="00F301A1"/>
    <w:rsid w:val="00F30DDB"/>
    <w:rsid w:val="00F35D52"/>
    <w:rsid w:val="00F363B7"/>
    <w:rsid w:val="00F37CA6"/>
    <w:rsid w:val="00F46A70"/>
    <w:rsid w:val="00F51913"/>
    <w:rsid w:val="00F55724"/>
    <w:rsid w:val="00F608BD"/>
    <w:rsid w:val="00F67143"/>
    <w:rsid w:val="00F81417"/>
    <w:rsid w:val="00F854B9"/>
    <w:rsid w:val="00F938F5"/>
    <w:rsid w:val="00F94850"/>
    <w:rsid w:val="00F97E28"/>
    <w:rsid w:val="00FA6653"/>
    <w:rsid w:val="00FB1DFB"/>
    <w:rsid w:val="00FB50A2"/>
    <w:rsid w:val="00FB5E05"/>
    <w:rsid w:val="00FB74E0"/>
    <w:rsid w:val="00FC7D84"/>
    <w:rsid w:val="00FD22B3"/>
    <w:rsid w:val="00FD24E2"/>
    <w:rsid w:val="00FD50D4"/>
    <w:rsid w:val="00FD6E74"/>
    <w:rsid w:val="00FE0424"/>
    <w:rsid w:val="00FE3D58"/>
    <w:rsid w:val="00FF2CE6"/>
    <w:rsid w:val="00FF40A5"/>
    <w:rsid w:val="00FF64ED"/>
    <w:rsid w:val="015F254D"/>
    <w:rsid w:val="028C78EB"/>
    <w:rsid w:val="02DF17B7"/>
    <w:rsid w:val="02F9662B"/>
    <w:rsid w:val="03413EA6"/>
    <w:rsid w:val="035D4211"/>
    <w:rsid w:val="037D5EE3"/>
    <w:rsid w:val="038C58C5"/>
    <w:rsid w:val="03B66504"/>
    <w:rsid w:val="04CF6E29"/>
    <w:rsid w:val="04D207DA"/>
    <w:rsid w:val="055B454C"/>
    <w:rsid w:val="057A724B"/>
    <w:rsid w:val="059366CF"/>
    <w:rsid w:val="05D00163"/>
    <w:rsid w:val="067F1859"/>
    <w:rsid w:val="070D50D4"/>
    <w:rsid w:val="070E4ECD"/>
    <w:rsid w:val="07370888"/>
    <w:rsid w:val="07637C01"/>
    <w:rsid w:val="077C34B8"/>
    <w:rsid w:val="07A209C4"/>
    <w:rsid w:val="07E85AD2"/>
    <w:rsid w:val="07EE27DC"/>
    <w:rsid w:val="080A6FB5"/>
    <w:rsid w:val="080D26DA"/>
    <w:rsid w:val="08284245"/>
    <w:rsid w:val="084D215A"/>
    <w:rsid w:val="086F1260"/>
    <w:rsid w:val="0880226D"/>
    <w:rsid w:val="089F2BDE"/>
    <w:rsid w:val="08BB2505"/>
    <w:rsid w:val="090E293E"/>
    <w:rsid w:val="09273A00"/>
    <w:rsid w:val="09792DDC"/>
    <w:rsid w:val="099A07E1"/>
    <w:rsid w:val="09E55F1D"/>
    <w:rsid w:val="0A053604"/>
    <w:rsid w:val="0A65663F"/>
    <w:rsid w:val="0A9B4FED"/>
    <w:rsid w:val="0AAB206E"/>
    <w:rsid w:val="0B0C0A79"/>
    <w:rsid w:val="0B451F6A"/>
    <w:rsid w:val="0C023F0F"/>
    <w:rsid w:val="0C6F4C8D"/>
    <w:rsid w:val="0CBD33D0"/>
    <w:rsid w:val="0D0E0EB6"/>
    <w:rsid w:val="0D4B2102"/>
    <w:rsid w:val="0DBD1075"/>
    <w:rsid w:val="0DD776C3"/>
    <w:rsid w:val="0DE142CB"/>
    <w:rsid w:val="0DEF52EA"/>
    <w:rsid w:val="0E1B6683"/>
    <w:rsid w:val="0E456E02"/>
    <w:rsid w:val="0E6D6B2B"/>
    <w:rsid w:val="0FDC1CDC"/>
    <w:rsid w:val="10223C48"/>
    <w:rsid w:val="10282537"/>
    <w:rsid w:val="115A77AB"/>
    <w:rsid w:val="117B00BB"/>
    <w:rsid w:val="11E164E5"/>
    <w:rsid w:val="12475EA9"/>
    <w:rsid w:val="12CD73C6"/>
    <w:rsid w:val="133360BD"/>
    <w:rsid w:val="13C908A8"/>
    <w:rsid w:val="146E4633"/>
    <w:rsid w:val="14EF358A"/>
    <w:rsid w:val="14FB4921"/>
    <w:rsid w:val="150412EA"/>
    <w:rsid w:val="1534372C"/>
    <w:rsid w:val="15F603F0"/>
    <w:rsid w:val="17036059"/>
    <w:rsid w:val="171438BA"/>
    <w:rsid w:val="17230955"/>
    <w:rsid w:val="1728413E"/>
    <w:rsid w:val="17795811"/>
    <w:rsid w:val="182770BA"/>
    <w:rsid w:val="182D40BB"/>
    <w:rsid w:val="18863017"/>
    <w:rsid w:val="18995B9F"/>
    <w:rsid w:val="18AC6D73"/>
    <w:rsid w:val="198F4A2D"/>
    <w:rsid w:val="199F18A8"/>
    <w:rsid w:val="1A920A3F"/>
    <w:rsid w:val="1B0911B7"/>
    <w:rsid w:val="1B4716B4"/>
    <w:rsid w:val="1B8058BB"/>
    <w:rsid w:val="1B8D4ED3"/>
    <w:rsid w:val="1BB73608"/>
    <w:rsid w:val="1C08419D"/>
    <w:rsid w:val="1CA15DBF"/>
    <w:rsid w:val="1CCE4166"/>
    <w:rsid w:val="1D342403"/>
    <w:rsid w:val="1D4D5FFD"/>
    <w:rsid w:val="1F525966"/>
    <w:rsid w:val="1F7A0970"/>
    <w:rsid w:val="20305BFC"/>
    <w:rsid w:val="204607B7"/>
    <w:rsid w:val="209E2C67"/>
    <w:rsid w:val="21224D81"/>
    <w:rsid w:val="216F32CA"/>
    <w:rsid w:val="218E591C"/>
    <w:rsid w:val="22124112"/>
    <w:rsid w:val="22C64929"/>
    <w:rsid w:val="2345029C"/>
    <w:rsid w:val="23F57352"/>
    <w:rsid w:val="249A7996"/>
    <w:rsid w:val="24ED7B85"/>
    <w:rsid w:val="25206251"/>
    <w:rsid w:val="267E2359"/>
    <w:rsid w:val="26BC7CBC"/>
    <w:rsid w:val="2742395A"/>
    <w:rsid w:val="27447ED5"/>
    <w:rsid w:val="275F3A77"/>
    <w:rsid w:val="284F0253"/>
    <w:rsid w:val="28644870"/>
    <w:rsid w:val="28945C1A"/>
    <w:rsid w:val="2AC86999"/>
    <w:rsid w:val="2AD6316F"/>
    <w:rsid w:val="2AE949DF"/>
    <w:rsid w:val="2B3B474B"/>
    <w:rsid w:val="2B681F2A"/>
    <w:rsid w:val="2B8D044E"/>
    <w:rsid w:val="2BC54AC2"/>
    <w:rsid w:val="2C016BB8"/>
    <w:rsid w:val="2C864792"/>
    <w:rsid w:val="2CDF7FCA"/>
    <w:rsid w:val="2D200419"/>
    <w:rsid w:val="2D77461B"/>
    <w:rsid w:val="2E400C5F"/>
    <w:rsid w:val="2E440A2C"/>
    <w:rsid w:val="2E5209E3"/>
    <w:rsid w:val="2EB01AFE"/>
    <w:rsid w:val="2ECE0A3B"/>
    <w:rsid w:val="2FAB7945"/>
    <w:rsid w:val="30432FA9"/>
    <w:rsid w:val="30592C7B"/>
    <w:rsid w:val="306F78E5"/>
    <w:rsid w:val="30D1119A"/>
    <w:rsid w:val="30F12F4C"/>
    <w:rsid w:val="30FE5C9F"/>
    <w:rsid w:val="3112402E"/>
    <w:rsid w:val="313D3E38"/>
    <w:rsid w:val="316853CB"/>
    <w:rsid w:val="3252231D"/>
    <w:rsid w:val="32611BF0"/>
    <w:rsid w:val="32B310BD"/>
    <w:rsid w:val="33A83294"/>
    <w:rsid w:val="34011E26"/>
    <w:rsid w:val="341B4D23"/>
    <w:rsid w:val="354E7369"/>
    <w:rsid w:val="359043C2"/>
    <w:rsid w:val="36A81FB2"/>
    <w:rsid w:val="3722158D"/>
    <w:rsid w:val="373D540C"/>
    <w:rsid w:val="3741624F"/>
    <w:rsid w:val="375E09FC"/>
    <w:rsid w:val="37CE6B2C"/>
    <w:rsid w:val="383F6B1D"/>
    <w:rsid w:val="38525FA9"/>
    <w:rsid w:val="389B749B"/>
    <w:rsid w:val="39003F1D"/>
    <w:rsid w:val="39276876"/>
    <w:rsid w:val="392B2930"/>
    <w:rsid w:val="393953B7"/>
    <w:rsid w:val="39555F8E"/>
    <w:rsid w:val="3980444F"/>
    <w:rsid w:val="3A2E3280"/>
    <w:rsid w:val="3A52002D"/>
    <w:rsid w:val="3AC853CC"/>
    <w:rsid w:val="3ACC2A06"/>
    <w:rsid w:val="3AF64E38"/>
    <w:rsid w:val="3B8121B6"/>
    <w:rsid w:val="3B847AC0"/>
    <w:rsid w:val="3BDB3450"/>
    <w:rsid w:val="3C041233"/>
    <w:rsid w:val="3C3669E1"/>
    <w:rsid w:val="3C582CD8"/>
    <w:rsid w:val="3CB427F5"/>
    <w:rsid w:val="3CBE07CD"/>
    <w:rsid w:val="3E094E14"/>
    <w:rsid w:val="3E2546CD"/>
    <w:rsid w:val="3E3D7F41"/>
    <w:rsid w:val="3F4E6A98"/>
    <w:rsid w:val="3FAB5528"/>
    <w:rsid w:val="40531C58"/>
    <w:rsid w:val="41192D98"/>
    <w:rsid w:val="4134048C"/>
    <w:rsid w:val="413E5CD9"/>
    <w:rsid w:val="415A69D6"/>
    <w:rsid w:val="41C31810"/>
    <w:rsid w:val="424D6905"/>
    <w:rsid w:val="4255523A"/>
    <w:rsid w:val="42E94B17"/>
    <w:rsid w:val="43425F9D"/>
    <w:rsid w:val="435B57AF"/>
    <w:rsid w:val="43F465D0"/>
    <w:rsid w:val="440A0005"/>
    <w:rsid w:val="442A053D"/>
    <w:rsid w:val="44440739"/>
    <w:rsid w:val="446F65B8"/>
    <w:rsid w:val="44C22BBE"/>
    <w:rsid w:val="44F057A6"/>
    <w:rsid w:val="45100579"/>
    <w:rsid w:val="45A95346"/>
    <w:rsid w:val="45BE3509"/>
    <w:rsid w:val="45E87A97"/>
    <w:rsid w:val="46416F41"/>
    <w:rsid w:val="467278F2"/>
    <w:rsid w:val="46B61944"/>
    <w:rsid w:val="46C4203A"/>
    <w:rsid w:val="470E29AE"/>
    <w:rsid w:val="472D7ACC"/>
    <w:rsid w:val="47C57750"/>
    <w:rsid w:val="47DE346E"/>
    <w:rsid w:val="483D40CA"/>
    <w:rsid w:val="48B9571B"/>
    <w:rsid w:val="497C0C22"/>
    <w:rsid w:val="49CB0CCD"/>
    <w:rsid w:val="4AA610D6"/>
    <w:rsid w:val="4B0C055A"/>
    <w:rsid w:val="4B3A2B43"/>
    <w:rsid w:val="4BCC0E42"/>
    <w:rsid w:val="4C35455B"/>
    <w:rsid w:val="4C8B4A7C"/>
    <w:rsid w:val="4CFC368B"/>
    <w:rsid w:val="4D15734B"/>
    <w:rsid w:val="4D2C4CF9"/>
    <w:rsid w:val="4D4B0A94"/>
    <w:rsid w:val="4D5D73FA"/>
    <w:rsid w:val="4E7D412D"/>
    <w:rsid w:val="4F086AAF"/>
    <w:rsid w:val="5015661E"/>
    <w:rsid w:val="5069668A"/>
    <w:rsid w:val="50A83CB2"/>
    <w:rsid w:val="50F87728"/>
    <w:rsid w:val="512B42F2"/>
    <w:rsid w:val="515209C0"/>
    <w:rsid w:val="538E5DEC"/>
    <w:rsid w:val="53B06A7D"/>
    <w:rsid w:val="543F0EC5"/>
    <w:rsid w:val="54AB24E7"/>
    <w:rsid w:val="55BD77C3"/>
    <w:rsid w:val="55FA7A9F"/>
    <w:rsid w:val="562C577E"/>
    <w:rsid w:val="56D076DF"/>
    <w:rsid w:val="56E34736"/>
    <w:rsid w:val="56FB15A3"/>
    <w:rsid w:val="572C3C94"/>
    <w:rsid w:val="57806BBC"/>
    <w:rsid w:val="579730CB"/>
    <w:rsid w:val="57D54CC1"/>
    <w:rsid w:val="5838588F"/>
    <w:rsid w:val="58856D1A"/>
    <w:rsid w:val="5889510A"/>
    <w:rsid w:val="58963DA7"/>
    <w:rsid w:val="592C3305"/>
    <w:rsid w:val="595F34BE"/>
    <w:rsid w:val="5A020F73"/>
    <w:rsid w:val="5A09424D"/>
    <w:rsid w:val="5A106DE2"/>
    <w:rsid w:val="5A2C7551"/>
    <w:rsid w:val="5A400720"/>
    <w:rsid w:val="5ADE798F"/>
    <w:rsid w:val="5C6C4B26"/>
    <w:rsid w:val="5CF4139A"/>
    <w:rsid w:val="5D4D3138"/>
    <w:rsid w:val="5D693C9C"/>
    <w:rsid w:val="5DE973D6"/>
    <w:rsid w:val="5E414336"/>
    <w:rsid w:val="5E5336AC"/>
    <w:rsid w:val="5E8D2D21"/>
    <w:rsid w:val="5EBD1212"/>
    <w:rsid w:val="5F2971CD"/>
    <w:rsid w:val="61E33F36"/>
    <w:rsid w:val="621243C2"/>
    <w:rsid w:val="623F329A"/>
    <w:rsid w:val="62695E27"/>
    <w:rsid w:val="628242DE"/>
    <w:rsid w:val="62E92B7F"/>
    <w:rsid w:val="63535FFA"/>
    <w:rsid w:val="636127C3"/>
    <w:rsid w:val="6541100E"/>
    <w:rsid w:val="654C0BA8"/>
    <w:rsid w:val="65743B6C"/>
    <w:rsid w:val="65AE7F5E"/>
    <w:rsid w:val="65DA254E"/>
    <w:rsid w:val="660128DE"/>
    <w:rsid w:val="664352EB"/>
    <w:rsid w:val="672079BD"/>
    <w:rsid w:val="67B727F2"/>
    <w:rsid w:val="68024591"/>
    <w:rsid w:val="683E7EE4"/>
    <w:rsid w:val="687F4BB7"/>
    <w:rsid w:val="68BE670A"/>
    <w:rsid w:val="68E73E66"/>
    <w:rsid w:val="696610E4"/>
    <w:rsid w:val="69CE2AB0"/>
    <w:rsid w:val="69F95902"/>
    <w:rsid w:val="6A83721D"/>
    <w:rsid w:val="6A96177D"/>
    <w:rsid w:val="6AB35168"/>
    <w:rsid w:val="6AE21101"/>
    <w:rsid w:val="6B4F3B9E"/>
    <w:rsid w:val="6B821202"/>
    <w:rsid w:val="6B96571C"/>
    <w:rsid w:val="6BD63153"/>
    <w:rsid w:val="6C595AB4"/>
    <w:rsid w:val="6C5B55DC"/>
    <w:rsid w:val="6C860F1A"/>
    <w:rsid w:val="6CAA691B"/>
    <w:rsid w:val="6CAE03DD"/>
    <w:rsid w:val="6CE56E6B"/>
    <w:rsid w:val="6D032DAA"/>
    <w:rsid w:val="6DAF0285"/>
    <w:rsid w:val="6E005A26"/>
    <w:rsid w:val="6E6329C5"/>
    <w:rsid w:val="6E677150"/>
    <w:rsid w:val="6E8E13B0"/>
    <w:rsid w:val="6EFF345A"/>
    <w:rsid w:val="6F0E41D6"/>
    <w:rsid w:val="6F413BF1"/>
    <w:rsid w:val="6FA61EDA"/>
    <w:rsid w:val="6FB4540B"/>
    <w:rsid w:val="6FC4241C"/>
    <w:rsid w:val="6FDC1B6B"/>
    <w:rsid w:val="6FE549DC"/>
    <w:rsid w:val="70C73255"/>
    <w:rsid w:val="7150636D"/>
    <w:rsid w:val="715D71DA"/>
    <w:rsid w:val="71610FBE"/>
    <w:rsid w:val="71FB172F"/>
    <w:rsid w:val="722630D5"/>
    <w:rsid w:val="725008FF"/>
    <w:rsid w:val="72760778"/>
    <w:rsid w:val="730E04B9"/>
    <w:rsid w:val="73AA13BC"/>
    <w:rsid w:val="743104E3"/>
    <w:rsid w:val="74320C3C"/>
    <w:rsid w:val="74513162"/>
    <w:rsid w:val="746638B2"/>
    <w:rsid w:val="750B7146"/>
    <w:rsid w:val="75230B15"/>
    <w:rsid w:val="75387844"/>
    <w:rsid w:val="75431AF8"/>
    <w:rsid w:val="75533B6B"/>
    <w:rsid w:val="757B75BC"/>
    <w:rsid w:val="7636795F"/>
    <w:rsid w:val="76A24D02"/>
    <w:rsid w:val="76A665D3"/>
    <w:rsid w:val="77953D6F"/>
    <w:rsid w:val="77F95D00"/>
    <w:rsid w:val="78430448"/>
    <w:rsid w:val="78BD1F9D"/>
    <w:rsid w:val="79201CE1"/>
    <w:rsid w:val="79B14724"/>
    <w:rsid w:val="7B3E0A41"/>
    <w:rsid w:val="7B8626B2"/>
    <w:rsid w:val="7BB32B04"/>
    <w:rsid w:val="7BBB6450"/>
    <w:rsid w:val="7C323980"/>
    <w:rsid w:val="7C5C018E"/>
    <w:rsid w:val="7C5C38ED"/>
    <w:rsid w:val="7C603012"/>
    <w:rsid w:val="7C696D53"/>
    <w:rsid w:val="7CD17E6D"/>
    <w:rsid w:val="7DAF30C1"/>
    <w:rsid w:val="7E8026C1"/>
    <w:rsid w:val="7E9B7847"/>
    <w:rsid w:val="7EB6225B"/>
    <w:rsid w:val="7F0030A6"/>
    <w:rsid w:val="7F3B4CE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qFormat="1" w:unhideWhenUsed="0" w:uiPriority="0" w:semiHidden="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9"/>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30"/>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31"/>
    <w:qFormat/>
    <w:uiPriority w:val="99"/>
    <w:pPr>
      <w:keepNext/>
      <w:keepLines/>
      <w:widowControl/>
      <w:spacing w:before="260" w:after="260" w:line="413" w:lineRule="auto"/>
      <w:outlineLvl w:val="2"/>
    </w:pPr>
    <w:rPr>
      <w:rFonts w:ascii="Calibri" w:hAnsi="Calibri" w:cs="宋体"/>
      <w:b/>
      <w:sz w:val="32"/>
      <w:szCs w:val="22"/>
    </w:rPr>
  </w:style>
  <w:style w:type="paragraph" w:styleId="6">
    <w:name w:val="heading 4"/>
    <w:basedOn w:val="1"/>
    <w:next w:val="1"/>
    <w:link w:val="32"/>
    <w:qFormat/>
    <w:uiPriority w:val="99"/>
    <w:pPr>
      <w:keepNext/>
      <w:keepLines/>
      <w:spacing w:before="280" w:after="290" w:line="376" w:lineRule="auto"/>
      <w:outlineLvl w:val="3"/>
    </w:pPr>
    <w:rPr>
      <w:rFonts w:ascii="Arial" w:hAnsi="Arial" w:eastAsia="黑体"/>
      <w:b/>
      <w:bCs/>
      <w:sz w:val="28"/>
      <w:szCs w:val="28"/>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paragraph" w:styleId="7">
    <w:name w:val="Normal Indent"/>
    <w:basedOn w:val="1"/>
    <w:link w:val="49"/>
    <w:autoRedefine/>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8">
    <w:name w:val="Document Map"/>
    <w:basedOn w:val="1"/>
    <w:link w:val="33"/>
    <w:autoRedefine/>
    <w:qFormat/>
    <w:uiPriority w:val="99"/>
    <w:rPr>
      <w:rFonts w:ascii="宋体"/>
      <w:sz w:val="18"/>
      <w:szCs w:val="18"/>
    </w:rPr>
  </w:style>
  <w:style w:type="paragraph" w:styleId="9">
    <w:name w:val="annotation text"/>
    <w:basedOn w:val="1"/>
    <w:link w:val="34"/>
    <w:autoRedefine/>
    <w:qFormat/>
    <w:uiPriority w:val="99"/>
    <w:pPr>
      <w:jc w:val="left"/>
    </w:pPr>
  </w:style>
  <w:style w:type="paragraph" w:styleId="10">
    <w:name w:val="Body Text"/>
    <w:basedOn w:val="1"/>
    <w:link w:val="35"/>
    <w:autoRedefine/>
    <w:qFormat/>
    <w:uiPriority w:val="99"/>
    <w:pPr>
      <w:spacing w:after="120"/>
    </w:pPr>
  </w:style>
  <w:style w:type="paragraph" w:styleId="11">
    <w:name w:val="Body Text Indent"/>
    <w:basedOn w:val="1"/>
    <w:next w:val="12"/>
    <w:autoRedefine/>
    <w:qFormat/>
    <w:uiPriority w:val="0"/>
    <w:pPr>
      <w:spacing w:after="120"/>
      <w:ind w:left="420" w:leftChars="200"/>
    </w:pPr>
    <w:rPr>
      <w:rFonts w:ascii="Times New Roman" w:hAnsi="Times New Roman" w:eastAsiaTheme="minorEastAsia" w:cstheme="minorBidi"/>
      <w:kern w:val="0"/>
      <w:sz w:val="20"/>
    </w:rPr>
  </w:style>
  <w:style w:type="paragraph" w:styleId="12">
    <w:name w:val="envelope return"/>
    <w:basedOn w:val="1"/>
    <w:unhideWhenUsed/>
    <w:qFormat/>
    <w:uiPriority w:val="99"/>
    <w:rPr>
      <w:rFonts w:hint="eastAsia" w:ascii="Arial" w:hAnsi="Arial"/>
    </w:rPr>
  </w:style>
  <w:style w:type="paragraph" w:styleId="13">
    <w:name w:val="Plain Text"/>
    <w:basedOn w:val="1"/>
    <w:link w:val="51"/>
    <w:autoRedefine/>
    <w:qFormat/>
    <w:uiPriority w:val="99"/>
    <w:pPr>
      <w:tabs>
        <w:tab w:val="left" w:pos="-105"/>
      </w:tabs>
      <w:spacing w:line="440" w:lineRule="exact"/>
      <w:ind w:right="-147" w:rightChars="-70"/>
      <w:outlineLvl w:val="2"/>
    </w:pPr>
    <w:rPr>
      <w:rFonts w:ascii="宋体" w:hAnsi="Courier New"/>
      <w:sz w:val="24"/>
      <w:szCs w:val="21"/>
    </w:rPr>
  </w:style>
  <w:style w:type="paragraph" w:styleId="14">
    <w:name w:val="Balloon Text"/>
    <w:basedOn w:val="1"/>
    <w:link w:val="36"/>
    <w:autoRedefine/>
    <w:qFormat/>
    <w:uiPriority w:val="99"/>
    <w:rPr>
      <w:sz w:val="18"/>
      <w:szCs w:val="18"/>
    </w:rPr>
  </w:style>
  <w:style w:type="paragraph" w:styleId="15">
    <w:name w:val="footer"/>
    <w:basedOn w:val="1"/>
    <w:link w:val="37"/>
    <w:autoRedefine/>
    <w:qFormat/>
    <w:uiPriority w:val="99"/>
    <w:pPr>
      <w:tabs>
        <w:tab w:val="center" w:pos="4153"/>
        <w:tab w:val="right" w:pos="8306"/>
      </w:tabs>
      <w:snapToGrid w:val="0"/>
      <w:jc w:val="left"/>
    </w:pPr>
    <w:rPr>
      <w:sz w:val="18"/>
      <w:szCs w:val="18"/>
    </w:rPr>
  </w:style>
  <w:style w:type="paragraph" w:styleId="16">
    <w:name w:val="header"/>
    <w:basedOn w:val="1"/>
    <w:link w:val="38"/>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99"/>
    <w:pPr>
      <w:widowControl/>
      <w:tabs>
        <w:tab w:val="left" w:pos="780"/>
        <w:tab w:val="right" w:leader="dot" w:pos="9400"/>
      </w:tabs>
      <w:jc w:val="left"/>
    </w:pPr>
    <w:rPr>
      <w:rFonts w:ascii="Calibri" w:hAnsi="Calibri"/>
      <w:kern w:val="0"/>
      <w:sz w:val="24"/>
      <w:szCs w:val="24"/>
    </w:rPr>
  </w:style>
  <w:style w:type="paragraph" w:styleId="18">
    <w:name w:val="toc 6"/>
    <w:basedOn w:val="1"/>
    <w:next w:val="1"/>
    <w:autoRedefine/>
    <w:qFormat/>
    <w:locked/>
    <w:uiPriority w:val="0"/>
    <w:pPr>
      <w:ind w:left="1200"/>
    </w:pPr>
    <w:rPr>
      <w:rFonts w:ascii="Calibri" w:cs="Calibri"/>
      <w:sz w:val="18"/>
      <w:szCs w:val="18"/>
    </w:rPr>
  </w:style>
  <w:style w:type="paragraph" w:styleId="1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9"/>
    <w:next w:val="9"/>
    <w:link w:val="56"/>
    <w:autoRedefine/>
    <w:semiHidden/>
    <w:qFormat/>
    <w:uiPriority w:val="99"/>
    <w:rPr>
      <w:b/>
      <w:bCs/>
    </w:rPr>
  </w:style>
  <w:style w:type="paragraph" w:styleId="22">
    <w:name w:val="Body Text First Indent"/>
    <w:basedOn w:val="10"/>
    <w:link w:val="39"/>
    <w:autoRedefine/>
    <w:qFormat/>
    <w:uiPriority w:val="99"/>
    <w:pPr>
      <w:widowControl/>
      <w:ind w:firstLine="420" w:firstLineChars="100"/>
    </w:pPr>
    <w:rPr>
      <w:rFonts w:ascii="Calibri" w:hAnsi="Calibri" w:cs="宋体"/>
      <w:szCs w:val="22"/>
    </w:rPr>
  </w:style>
  <w:style w:type="paragraph" w:styleId="23">
    <w:name w:val="Body Text First Indent 2"/>
    <w:basedOn w:val="11"/>
    <w:autoRedefine/>
    <w:qFormat/>
    <w:uiPriority w:val="0"/>
    <w:pPr>
      <w:snapToGrid w:val="0"/>
      <w:spacing w:line="360" w:lineRule="auto"/>
      <w:ind w:left="0" w:leftChars="0" w:firstLine="420" w:firstLineChars="200"/>
    </w:pPr>
    <w:rPr>
      <w:rFonts w:ascii="Tahoma" w:hAnsi="Tahoma" w:eastAsia="宋体"/>
      <w:sz w:val="28"/>
    </w:rPr>
  </w:style>
  <w:style w:type="table" w:styleId="25">
    <w:name w:val="Table Grid"/>
    <w:basedOn w:val="24"/>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99"/>
    <w:rPr>
      <w:rFonts w:cs="Times New Roman"/>
      <w:color w:val="0000FF"/>
      <w:u w:val="single"/>
    </w:rPr>
  </w:style>
  <w:style w:type="character" w:styleId="28">
    <w:name w:val="annotation reference"/>
    <w:basedOn w:val="26"/>
    <w:autoRedefine/>
    <w:qFormat/>
    <w:uiPriority w:val="99"/>
    <w:rPr>
      <w:rFonts w:cs="Times New Roman"/>
      <w:sz w:val="21"/>
      <w:szCs w:val="21"/>
    </w:rPr>
  </w:style>
  <w:style w:type="character" w:customStyle="1" w:styleId="29">
    <w:name w:val="标题 1 字符"/>
    <w:basedOn w:val="26"/>
    <w:link w:val="3"/>
    <w:autoRedefine/>
    <w:qFormat/>
    <w:locked/>
    <w:uiPriority w:val="99"/>
    <w:rPr>
      <w:rFonts w:ascii="Times New Roman" w:hAnsi="Times New Roman" w:eastAsia="宋体" w:cs="Times New Roman"/>
      <w:b/>
      <w:bCs/>
      <w:kern w:val="44"/>
      <w:sz w:val="44"/>
      <w:szCs w:val="44"/>
    </w:rPr>
  </w:style>
  <w:style w:type="character" w:customStyle="1" w:styleId="30">
    <w:name w:val="标题 2 字符"/>
    <w:basedOn w:val="26"/>
    <w:link w:val="4"/>
    <w:autoRedefine/>
    <w:qFormat/>
    <w:locked/>
    <w:uiPriority w:val="99"/>
    <w:rPr>
      <w:rFonts w:ascii="Cambria" w:hAnsi="Cambria" w:eastAsia="宋体" w:cs="Times New Roman"/>
      <w:b/>
      <w:bCs/>
      <w:kern w:val="2"/>
      <w:sz w:val="32"/>
      <w:szCs w:val="32"/>
    </w:rPr>
  </w:style>
  <w:style w:type="character" w:customStyle="1" w:styleId="31">
    <w:name w:val="标题 3 字符"/>
    <w:basedOn w:val="26"/>
    <w:link w:val="5"/>
    <w:autoRedefine/>
    <w:qFormat/>
    <w:locked/>
    <w:uiPriority w:val="99"/>
    <w:rPr>
      <w:rFonts w:eastAsia="宋体" w:cs="Times New Roman"/>
      <w:b/>
      <w:sz w:val="32"/>
    </w:rPr>
  </w:style>
  <w:style w:type="character" w:customStyle="1" w:styleId="32">
    <w:name w:val="标题 4 字符1"/>
    <w:basedOn w:val="26"/>
    <w:link w:val="6"/>
    <w:autoRedefine/>
    <w:qFormat/>
    <w:locked/>
    <w:uiPriority w:val="99"/>
    <w:rPr>
      <w:rFonts w:ascii="Arial" w:hAnsi="Arial" w:eastAsia="黑体" w:cs="Times New Roman"/>
      <w:b/>
      <w:bCs/>
      <w:kern w:val="2"/>
      <w:sz w:val="28"/>
      <w:szCs w:val="28"/>
    </w:rPr>
  </w:style>
  <w:style w:type="character" w:customStyle="1" w:styleId="33">
    <w:name w:val="文档结构图 字符"/>
    <w:basedOn w:val="26"/>
    <w:link w:val="8"/>
    <w:autoRedefine/>
    <w:qFormat/>
    <w:locked/>
    <w:uiPriority w:val="99"/>
    <w:rPr>
      <w:rFonts w:ascii="宋体" w:hAnsi="Times New Roman" w:eastAsia="宋体" w:cs="Times New Roman"/>
      <w:kern w:val="2"/>
      <w:sz w:val="18"/>
      <w:szCs w:val="18"/>
    </w:rPr>
  </w:style>
  <w:style w:type="character" w:customStyle="1" w:styleId="34">
    <w:name w:val="批注文字 字符"/>
    <w:basedOn w:val="26"/>
    <w:link w:val="9"/>
    <w:autoRedefine/>
    <w:qFormat/>
    <w:locked/>
    <w:uiPriority w:val="99"/>
    <w:rPr>
      <w:rFonts w:ascii="Times New Roman" w:hAnsi="Times New Roman" w:cs="Times New Roman"/>
      <w:kern w:val="2"/>
      <w:sz w:val="21"/>
    </w:rPr>
  </w:style>
  <w:style w:type="character" w:customStyle="1" w:styleId="35">
    <w:name w:val="正文文本 字符"/>
    <w:basedOn w:val="26"/>
    <w:link w:val="10"/>
    <w:autoRedefine/>
    <w:qFormat/>
    <w:locked/>
    <w:uiPriority w:val="99"/>
    <w:rPr>
      <w:rFonts w:ascii="Times New Roman" w:hAnsi="Times New Roman" w:eastAsia="宋体" w:cs="Times New Roman"/>
      <w:sz w:val="20"/>
      <w:szCs w:val="20"/>
    </w:rPr>
  </w:style>
  <w:style w:type="character" w:customStyle="1" w:styleId="36">
    <w:name w:val="批注框文本 字符"/>
    <w:basedOn w:val="26"/>
    <w:link w:val="14"/>
    <w:autoRedefine/>
    <w:qFormat/>
    <w:locked/>
    <w:uiPriority w:val="99"/>
    <w:rPr>
      <w:rFonts w:ascii="Times New Roman" w:hAnsi="Times New Roman" w:eastAsia="宋体" w:cs="Times New Roman"/>
      <w:kern w:val="2"/>
      <w:sz w:val="18"/>
      <w:szCs w:val="18"/>
    </w:rPr>
  </w:style>
  <w:style w:type="character" w:customStyle="1" w:styleId="37">
    <w:name w:val="页脚 字符"/>
    <w:basedOn w:val="26"/>
    <w:link w:val="15"/>
    <w:autoRedefine/>
    <w:qFormat/>
    <w:locked/>
    <w:uiPriority w:val="99"/>
    <w:rPr>
      <w:rFonts w:ascii="Times New Roman" w:hAnsi="Times New Roman" w:eastAsia="宋体" w:cs="Times New Roman"/>
      <w:sz w:val="18"/>
      <w:szCs w:val="18"/>
    </w:rPr>
  </w:style>
  <w:style w:type="character" w:customStyle="1" w:styleId="38">
    <w:name w:val="页眉 字符"/>
    <w:basedOn w:val="26"/>
    <w:link w:val="16"/>
    <w:autoRedefine/>
    <w:qFormat/>
    <w:locked/>
    <w:uiPriority w:val="99"/>
    <w:rPr>
      <w:rFonts w:ascii="Times New Roman" w:hAnsi="Times New Roman" w:eastAsia="宋体" w:cs="Times New Roman"/>
      <w:sz w:val="18"/>
      <w:szCs w:val="18"/>
    </w:rPr>
  </w:style>
  <w:style w:type="character" w:customStyle="1" w:styleId="39">
    <w:name w:val="正文文本首行缩进 字符"/>
    <w:basedOn w:val="35"/>
    <w:link w:val="22"/>
    <w:autoRedefine/>
    <w:qFormat/>
    <w:locked/>
    <w:uiPriority w:val="99"/>
    <w:rPr>
      <w:rFonts w:ascii="Times New Roman" w:hAnsi="Times New Roman" w:eastAsia="宋体" w:cs="Times New Roman"/>
      <w:sz w:val="20"/>
      <w:szCs w:val="20"/>
    </w:rPr>
  </w:style>
  <w:style w:type="character" w:customStyle="1" w:styleId="40">
    <w:name w:val="正文缩进2格 Char"/>
    <w:link w:val="41"/>
    <w:autoRedefine/>
    <w:qFormat/>
    <w:locked/>
    <w:uiPriority w:val="99"/>
    <w:rPr>
      <w:rFonts w:ascii="仿宋_GB2312" w:hAnsi="宋体" w:eastAsia="仿宋_GB2312"/>
      <w:sz w:val="31"/>
    </w:rPr>
  </w:style>
  <w:style w:type="paragraph" w:customStyle="1" w:styleId="41">
    <w:name w:val="正文缩进2格"/>
    <w:basedOn w:val="1"/>
    <w:link w:val="40"/>
    <w:autoRedefine/>
    <w:qFormat/>
    <w:uiPriority w:val="99"/>
    <w:pPr>
      <w:spacing w:line="600" w:lineRule="exact"/>
      <w:ind w:firstLine="639" w:firstLineChars="206"/>
    </w:pPr>
    <w:rPr>
      <w:rFonts w:ascii="仿宋_GB2312" w:hAnsi="宋体" w:eastAsia="仿宋_GB2312"/>
      <w:kern w:val="0"/>
      <w:sz w:val="31"/>
      <w:szCs w:val="31"/>
    </w:rPr>
  </w:style>
  <w:style w:type="paragraph" w:customStyle="1" w:styleId="42">
    <w:name w:val="列出段落1"/>
    <w:basedOn w:val="1"/>
    <w:autoRedefine/>
    <w:qFormat/>
    <w:uiPriority w:val="99"/>
    <w:pPr>
      <w:ind w:firstLine="420" w:firstLineChars="200"/>
    </w:pPr>
  </w:style>
  <w:style w:type="paragraph" w:customStyle="1" w:styleId="43">
    <w:name w:val="列出段落2"/>
    <w:basedOn w:val="1"/>
    <w:autoRedefine/>
    <w:qFormat/>
    <w:uiPriority w:val="99"/>
    <w:pPr>
      <w:ind w:firstLine="420" w:firstLineChars="200"/>
    </w:pPr>
  </w:style>
  <w:style w:type="paragraph" w:styleId="44">
    <w:name w:val="List Paragraph"/>
    <w:basedOn w:val="1"/>
    <w:autoRedefine/>
    <w:qFormat/>
    <w:uiPriority w:val="99"/>
    <w:pPr>
      <w:ind w:firstLine="420" w:firstLineChars="200"/>
    </w:pPr>
  </w:style>
  <w:style w:type="character" w:customStyle="1" w:styleId="45">
    <w:name w:val="fontstyle01"/>
    <w:basedOn w:val="26"/>
    <w:autoRedefine/>
    <w:qFormat/>
    <w:uiPriority w:val="99"/>
    <w:rPr>
      <w:rFonts w:ascii="仿宋" w:hAnsi="仿宋" w:eastAsia="仿宋" w:cs="Times New Roman"/>
      <w:color w:val="000000"/>
      <w:sz w:val="28"/>
      <w:szCs w:val="28"/>
    </w:rPr>
  </w:style>
  <w:style w:type="character" w:customStyle="1" w:styleId="46">
    <w:name w:val="！正文 Char"/>
    <w:link w:val="47"/>
    <w:qFormat/>
    <w:locked/>
    <w:uiPriority w:val="99"/>
    <w:rPr>
      <w:rFonts w:ascii="Arial" w:hAnsi="Arial"/>
      <w:sz w:val="24"/>
    </w:rPr>
  </w:style>
  <w:style w:type="paragraph" w:customStyle="1" w:styleId="47">
    <w:name w:val="！正文"/>
    <w:basedOn w:val="1"/>
    <w:link w:val="46"/>
    <w:autoRedefine/>
    <w:qFormat/>
    <w:uiPriority w:val="99"/>
    <w:pPr>
      <w:spacing w:line="360" w:lineRule="auto"/>
      <w:ind w:firstLine="200" w:firstLineChars="200"/>
    </w:pPr>
    <w:rPr>
      <w:rFonts w:ascii="Arial" w:hAnsi="Arial" w:eastAsia="等线"/>
      <w:kern w:val="0"/>
      <w:sz w:val="24"/>
      <w:szCs w:val="24"/>
    </w:rPr>
  </w:style>
  <w:style w:type="paragraph" w:customStyle="1" w:styleId="48">
    <w:name w:val="！标题1 Alt+1"/>
    <w:basedOn w:val="1"/>
    <w:next w:val="1"/>
    <w:autoRedefine/>
    <w:qFormat/>
    <w:uiPriority w:val="99"/>
    <w:pPr>
      <w:tabs>
        <w:tab w:val="left" w:pos="3261"/>
      </w:tabs>
      <w:spacing w:beforeLines="100"/>
      <w:jc w:val="left"/>
      <w:outlineLvl w:val="0"/>
    </w:pPr>
    <w:rPr>
      <w:rFonts w:eastAsia="黑体"/>
      <w:b/>
      <w:spacing w:val="20"/>
      <w:w w:val="110"/>
      <w:sz w:val="32"/>
      <w:szCs w:val="32"/>
    </w:rPr>
  </w:style>
  <w:style w:type="character" w:customStyle="1" w:styleId="49">
    <w:name w:val="正文缩进 字符"/>
    <w:link w:val="7"/>
    <w:autoRedefine/>
    <w:qFormat/>
    <w:locked/>
    <w:uiPriority w:val="99"/>
    <w:rPr>
      <w:sz w:val="24"/>
    </w:rPr>
  </w:style>
  <w:style w:type="paragraph" w:customStyle="1" w:styleId="50">
    <w:name w:val="标准书脚_奇数页"/>
    <w:autoRedefine/>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51">
    <w:name w:val="纯文本 字符"/>
    <w:basedOn w:val="26"/>
    <w:link w:val="13"/>
    <w:autoRedefine/>
    <w:qFormat/>
    <w:locked/>
    <w:uiPriority w:val="99"/>
    <w:rPr>
      <w:rFonts w:ascii="宋体" w:hAnsi="Courier New" w:eastAsia="宋体" w:cs="Times New Roman"/>
      <w:kern w:val="2"/>
      <w:sz w:val="21"/>
      <w:szCs w:val="21"/>
    </w:rPr>
  </w:style>
  <w:style w:type="character" w:customStyle="1" w:styleId="52">
    <w:name w:val="未处理的提及1"/>
    <w:basedOn w:val="26"/>
    <w:autoRedefine/>
    <w:semiHidden/>
    <w:qFormat/>
    <w:uiPriority w:val="99"/>
    <w:rPr>
      <w:rFonts w:cs="Times New Roman"/>
      <w:color w:val="605E5C"/>
      <w:shd w:val="clear" w:color="auto" w:fill="E1DFDD"/>
    </w:rPr>
  </w:style>
  <w:style w:type="paragraph" w:customStyle="1" w:styleId="53">
    <w:name w:val="样式"/>
    <w:basedOn w:val="1"/>
    <w:next w:val="44"/>
    <w:autoRedefine/>
    <w:qFormat/>
    <w:uiPriority w:val="99"/>
    <w:pPr>
      <w:ind w:firstLine="420" w:firstLineChars="200"/>
    </w:pPr>
    <w:rPr>
      <w:rFonts w:ascii="Calibri" w:hAnsi="Calibri"/>
      <w:szCs w:val="22"/>
    </w:rPr>
  </w:style>
  <w:style w:type="character" w:customStyle="1" w:styleId="54">
    <w:name w:val="Body Text Indent 2 Char Char"/>
    <w:link w:val="55"/>
    <w:autoRedefine/>
    <w:qFormat/>
    <w:locked/>
    <w:uiPriority w:val="99"/>
  </w:style>
  <w:style w:type="paragraph" w:customStyle="1" w:styleId="55">
    <w:name w:val="正文文本缩进 21"/>
    <w:basedOn w:val="1"/>
    <w:link w:val="54"/>
    <w:autoRedefine/>
    <w:qFormat/>
    <w:uiPriority w:val="99"/>
    <w:pPr>
      <w:adjustRightInd w:val="0"/>
      <w:spacing w:line="480" w:lineRule="auto"/>
      <w:ind w:firstLine="540"/>
    </w:pPr>
    <w:rPr>
      <w:rFonts w:ascii="Calibri" w:hAnsi="Calibri" w:eastAsia="等线"/>
      <w:kern w:val="0"/>
      <w:sz w:val="20"/>
    </w:rPr>
  </w:style>
  <w:style w:type="character" w:customStyle="1" w:styleId="56">
    <w:name w:val="批注主题 字符"/>
    <w:basedOn w:val="34"/>
    <w:link w:val="21"/>
    <w:autoRedefine/>
    <w:semiHidden/>
    <w:qFormat/>
    <w:locked/>
    <w:uiPriority w:val="99"/>
    <w:rPr>
      <w:rFonts w:ascii="Times New Roman" w:hAnsi="Times New Roman" w:eastAsia="宋体" w:cs="Times New Roman"/>
      <w:b/>
      <w:bCs/>
      <w:kern w:val="2"/>
      <w:sz w:val="21"/>
    </w:rPr>
  </w:style>
  <w:style w:type="character" w:customStyle="1" w:styleId="57">
    <w:name w:val="标题 4 字符"/>
    <w:basedOn w:val="26"/>
    <w:autoRedefine/>
    <w:semiHidden/>
    <w:qFormat/>
    <w:uiPriority w:val="99"/>
    <w:rPr>
      <w:rFonts w:ascii="Cambria" w:hAnsi="Cambria" w:eastAsia="宋体" w:cs="Times New Roman"/>
      <w:b/>
      <w:bCs/>
      <w:kern w:val="2"/>
      <w:sz w:val="28"/>
      <w:szCs w:val="28"/>
    </w:rPr>
  </w:style>
  <w:style w:type="paragraph" w:customStyle="1" w:styleId="58">
    <w:name w:val="正文_0"/>
    <w:autoRedefine/>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9">
    <w:name w:val="致远要点"/>
    <w:basedOn w:val="44"/>
    <w:link w:val="60"/>
    <w:autoRedefine/>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60">
    <w:name w:val="致远要点 字符"/>
    <w:basedOn w:val="26"/>
    <w:link w:val="59"/>
    <w:autoRedefine/>
    <w:qFormat/>
    <w:locked/>
    <w:uiPriority w:val="99"/>
    <w:rPr>
      <w:rFonts w:ascii="黑体" w:hAnsi="黑体" w:eastAsia="黑体" w:cs="宋体"/>
      <w:kern w:val="2"/>
      <w:sz w:val="22"/>
      <w:szCs w:val="22"/>
    </w:rPr>
  </w:style>
  <w:style w:type="paragraph" w:customStyle="1" w:styleId="61">
    <w:name w:val="SANGFOR_6_正文"/>
    <w:basedOn w:val="1"/>
    <w:autoRedefine/>
    <w:qFormat/>
    <w:uiPriority w:val="99"/>
    <w:pPr>
      <w:spacing w:line="360" w:lineRule="auto"/>
    </w:pPr>
    <w:rPr>
      <w:szCs w:val="24"/>
    </w:rPr>
  </w:style>
  <w:style w:type="character" w:customStyle="1" w:styleId="62">
    <w:name w:val="font51"/>
    <w:basedOn w:val="26"/>
    <w:qFormat/>
    <w:uiPriority w:val="0"/>
    <w:rPr>
      <w:rFonts w:hint="default" w:ascii="Times New Roman" w:hAnsi="Times New Roman" w:cs="Times New Roman"/>
      <w:b/>
      <w:bCs/>
      <w:color w:val="000000"/>
      <w:sz w:val="22"/>
      <w:szCs w:val="22"/>
      <w:u w:val="none"/>
    </w:rPr>
  </w:style>
  <w:style w:type="character" w:customStyle="1" w:styleId="63">
    <w:name w:val="font21"/>
    <w:basedOn w:val="26"/>
    <w:autoRedefine/>
    <w:qFormat/>
    <w:uiPriority w:val="0"/>
    <w:rPr>
      <w:rFonts w:hint="eastAsia" w:ascii="宋体" w:hAnsi="宋体" w:eastAsia="宋体" w:cs="宋体"/>
      <w:color w:val="000000"/>
      <w:sz w:val="21"/>
      <w:szCs w:val="21"/>
      <w:u w:val="none"/>
    </w:rPr>
  </w:style>
  <w:style w:type="character" w:customStyle="1" w:styleId="64">
    <w:name w:val="font41"/>
    <w:basedOn w:val="26"/>
    <w:qFormat/>
    <w:uiPriority w:val="0"/>
    <w:rPr>
      <w:rFonts w:hint="eastAsia" w:ascii="宋体" w:hAnsi="宋体" w:eastAsia="宋体" w:cs="宋体"/>
      <w:b/>
      <w:bCs/>
      <w:color w:val="000000"/>
      <w:sz w:val="21"/>
      <w:szCs w:val="21"/>
      <w:u w:val="none"/>
    </w:rPr>
  </w:style>
  <w:style w:type="paragraph" w:customStyle="1" w:styleId="65">
    <w:name w:val=" Char"/>
    <w:basedOn w:val="1"/>
    <w:autoRedefine/>
    <w:qFormat/>
    <w:uiPriority w:val="0"/>
    <w:rPr>
      <w:szCs w:val="20"/>
    </w:rPr>
  </w:style>
  <w:style w:type="paragraph" w:customStyle="1" w:styleId="66">
    <w:name w:val="标题 3.1"/>
    <w:basedOn w:val="5"/>
    <w:autoRedefine/>
    <w:qFormat/>
    <w:uiPriority w:val="0"/>
    <w:pPr>
      <w:tabs>
        <w:tab w:val="left" w:pos="1440"/>
        <w:tab w:val="left" w:pos="1620"/>
      </w:tabs>
      <w:spacing w:before="260" w:after="260" w:line="600" w:lineRule="exact"/>
    </w:pPr>
    <w:rPr>
      <w:color w:val="FF0000"/>
      <w:sz w:val="32"/>
      <w:szCs w:val="20"/>
    </w:rPr>
  </w:style>
  <w:style w:type="paragraph" w:customStyle="1" w:styleId="67">
    <w:name w:val="xl39"/>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kesin.Com</Company>
  <Pages>30</Pages>
  <Words>12607</Words>
  <Characters>12929</Characters>
  <Lines>53</Lines>
  <Paragraphs>15</Paragraphs>
  <TotalTime>4</TotalTime>
  <ScaleCrop>false</ScaleCrop>
  <LinksUpToDate>false</LinksUpToDate>
  <CharactersWithSpaces>13510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2023-09-12T10:55:00Z</dcterms:created>
  <dc:creator>Administrator</dc:creator>
  <cp:lastModifiedBy>Lenovo</cp:lastModifiedBy>
  <cp:lastPrinted>2024-09-27T00:54:00Z</cp:lastPrinted>
  <dcterms:modified xsi:type="dcterms:W3CDTF">2025-10-27T10:55:39Z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F11D71DC27F443BEB4F98A1F90CC7118_13</vt:lpwstr>
  </property>
  <property fmtid="{D5CDD505-2E9C-101B-9397-08002B2CF9AE}" pid="4" name="KSOTemplateDocerSaveRecord">
    <vt:lpwstr>eyJoZGlkIjoiYmRhODFmNzRmN2ZlNjc1OGE0YWUxNWEzMmNlMTZlZGUiLCJ1c2VySWQiOiIzNDgwMDA2NDgifQ==</vt:lpwstr>
  </property>
</Properties>
</file>