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645A41">
      <w:pPr>
        <w:spacing w:line="360" w:lineRule="auto"/>
        <w:ind w:left="643" w:hanging="643" w:hangingChars="200"/>
        <w:jc w:val="both"/>
        <w:rPr>
          <w:rFonts w:hint="eastAsia" w:ascii="Times New Roman" w:hAnsi="Times New Roman" w:eastAsia="宋体" w:cs="Times New Roman"/>
          <w:b/>
          <w:bCs/>
          <w:color w:val="auto"/>
          <w:kern w:val="44"/>
          <w:sz w:val="32"/>
          <w:szCs w:val="32"/>
          <w:lang w:val="en-US" w:eastAsia="zh-CN" w:bidi="ar-SA"/>
        </w:rPr>
      </w:pPr>
      <w:r>
        <w:rPr>
          <w:rFonts w:hint="eastAsia" w:ascii="Times New Roman" w:hAnsi="Times New Roman" w:eastAsia="宋体" w:cs="Times New Roman"/>
          <w:b/>
          <w:bCs/>
          <w:color w:val="auto"/>
          <w:kern w:val="44"/>
          <w:sz w:val="32"/>
          <w:szCs w:val="32"/>
          <w:lang w:val="en-US" w:eastAsia="zh-CN" w:bidi="ar-SA"/>
        </w:rPr>
        <w:t>东莞市凤岗镇博深高速联络线及雁鸣湖路道路工程（一期）项目-边坡防护工程、给排水工程等工程钢筋、钢绞线等采购需求书</w:t>
      </w:r>
    </w:p>
    <w:p w14:paraId="0708AA25">
      <w:pPr>
        <w:autoSpaceDE w:val="0"/>
        <w:autoSpaceDN w:val="0"/>
        <w:adjustRightInd w:val="0"/>
        <w:spacing w:line="360" w:lineRule="auto"/>
        <w:jc w:val="left"/>
        <w:rPr>
          <w:rFonts w:ascii="Times New Roman" w:hAnsi="Times New Roman" w:eastAsia="宋体" w:cs="Times New Roman"/>
          <w:b/>
          <w:color w:val="auto"/>
          <w:kern w:val="0"/>
          <w:sz w:val="24"/>
          <w:szCs w:val="21"/>
        </w:rPr>
      </w:pPr>
      <w:r>
        <w:rPr>
          <w:rFonts w:ascii="Times New Roman" w:hAnsi="Times New Roman" w:eastAsia="宋体" w:cs="Times New Roman"/>
          <w:b/>
          <w:color w:val="auto"/>
          <w:kern w:val="0"/>
          <w:sz w:val="24"/>
          <w:szCs w:val="21"/>
        </w:rPr>
        <w:t>一、项目信息</w:t>
      </w:r>
    </w:p>
    <w:p w14:paraId="71E349DE">
      <w:pPr>
        <w:autoSpaceDE w:val="0"/>
        <w:autoSpaceDN w:val="0"/>
        <w:adjustRightInd w:val="0"/>
        <w:spacing w:line="360" w:lineRule="auto"/>
        <w:ind w:firstLine="480" w:firstLineChars="200"/>
        <w:jc w:val="left"/>
        <w:rPr>
          <w:rFonts w:hint="default" w:asciiTheme="minorEastAsia" w:hAnsiTheme="minorEastAsia" w:eastAsiaTheme="minorEastAsia" w:cstheme="minorEastAsia"/>
          <w:color w:val="auto"/>
          <w:kern w:val="0"/>
          <w:sz w:val="24"/>
          <w:szCs w:val="24"/>
          <w:lang w:val="en-US" w:eastAsia="zh-CN"/>
        </w:rPr>
      </w:pPr>
      <w:r>
        <w:rPr>
          <w:rFonts w:hint="eastAsia" w:ascii="Times New Roman" w:hAnsi="Times New Roman" w:eastAsia="宋体" w:cs="Times New Roman"/>
          <w:color w:val="auto"/>
          <w:kern w:val="0"/>
          <w:sz w:val="24"/>
          <w:szCs w:val="21"/>
        </w:rPr>
        <w:t>1. 项目名称：</w:t>
      </w:r>
      <w:r>
        <w:rPr>
          <w:rFonts w:hint="eastAsia" w:asciiTheme="minorEastAsia" w:hAnsiTheme="minorEastAsia" w:eastAsiaTheme="minorEastAsia" w:cstheme="minorEastAsia"/>
          <w:color w:val="auto"/>
          <w:kern w:val="0"/>
          <w:sz w:val="24"/>
          <w:szCs w:val="24"/>
          <w:lang w:val="en-US" w:eastAsia="zh-CN"/>
        </w:rPr>
        <w:t>东莞市凤岗镇博深高速联络线及雁鸣湖路道路工程（一期）项目-边坡防护工程、给排水工程等工程钢筋、钢绞线等采购</w:t>
      </w:r>
    </w:p>
    <w:p w14:paraId="1467A4A2">
      <w:pPr>
        <w:autoSpaceDE w:val="0"/>
        <w:autoSpaceDN w:val="0"/>
        <w:adjustRightInd w:val="0"/>
        <w:spacing w:line="360" w:lineRule="auto"/>
        <w:ind w:firstLine="480" w:firstLineChars="200"/>
        <w:jc w:val="left"/>
        <w:rPr>
          <w:rFonts w:hint="default" w:ascii="Times New Roman" w:hAnsi="Times New Roman" w:eastAsia="宋体" w:cs="Times New Roman"/>
          <w:color w:val="auto"/>
          <w:kern w:val="0"/>
          <w:sz w:val="24"/>
          <w:szCs w:val="21"/>
          <w:highlight w:val="none"/>
          <w:lang w:val="en-US"/>
        </w:rPr>
      </w:pPr>
      <w:r>
        <w:rPr>
          <w:rFonts w:hint="eastAsia" w:ascii="Times New Roman" w:hAnsi="Times New Roman" w:eastAsia="宋体" w:cs="Times New Roman"/>
          <w:color w:val="auto"/>
          <w:kern w:val="0"/>
          <w:sz w:val="24"/>
          <w:szCs w:val="21"/>
          <w:highlight w:val="none"/>
          <w:lang w:val="en-US" w:eastAsia="zh-CN"/>
        </w:rPr>
        <w:t>2.项目地点：东莞市凤岗镇</w:t>
      </w:r>
    </w:p>
    <w:p w14:paraId="59EA3F27">
      <w:pPr>
        <w:autoSpaceDE w:val="0"/>
        <w:autoSpaceDN w:val="0"/>
        <w:adjustRightInd w:val="0"/>
        <w:spacing w:line="360" w:lineRule="auto"/>
        <w:jc w:val="left"/>
        <w:rPr>
          <w:rFonts w:ascii="Times New Roman" w:hAnsi="Times New Roman" w:eastAsia="宋体" w:cs="Times New Roman"/>
          <w:b/>
          <w:color w:val="auto"/>
          <w:kern w:val="0"/>
          <w:sz w:val="24"/>
          <w:szCs w:val="21"/>
        </w:rPr>
      </w:pPr>
      <w:r>
        <w:rPr>
          <w:rFonts w:hint="eastAsia" w:ascii="Times New Roman" w:hAnsi="Times New Roman" w:eastAsia="宋体" w:cs="Times New Roman"/>
          <w:b/>
          <w:color w:val="auto"/>
          <w:kern w:val="0"/>
          <w:sz w:val="24"/>
          <w:szCs w:val="21"/>
          <w:lang w:val="en-US" w:eastAsia="zh-CN"/>
        </w:rPr>
        <w:t>二、</w:t>
      </w:r>
      <w:r>
        <w:rPr>
          <w:rFonts w:ascii="Times New Roman" w:hAnsi="Times New Roman" w:eastAsia="宋体" w:cs="Times New Roman"/>
          <w:b/>
          <w:color w:val="auto"/>
          <w:kern w:val="0"/>
          <w:sz w:val="24"/>
          <w:szCs w:val="21"/>
        </w:rPr>
        <w:t>货物</w:t>
      </w:r>
      <w:r>
        <w:rPr>
          <w:rFonts w:hint="eastAsia" w:ascii="Times New Roman" w:hAnsi="Times New Roman" w:eastAsia="宋体" w:cs="Times New Roman"/>
          <w:b/>
          <w:color w:val="auto"/>
          <w:kern w:val="0"/>
          <w:sz w:val="24"/>
          <w:szCs w:val="21"/>
          <w:lang w:val="en-US" w:eastAsia="zh-CN"/>
        </w:rPr>
        <w:t>采购</w:t>
      </w:r>
      <w:r>
        <w:rPr>
          <w:rFonts w:ascii="Times New Roman" w:hAnsi="Times New Roman" w:eastAsia="宋体" w:cs="Times New Roman"/>
          <w:b/>
          <w:color w:val="auto"/>
          <w:kern w:val="0"/>
          <w:sz w:val="24"/>
          <w:szCs w:val="21"/>
        </w:rPr>
        <w:t>需求</w:t>
      </w:r>
    </w:p>
    <w:p w14:paraId="2201B4F9">
      <w:pPr>
        <w:autoSpaceDE w:val="0"/>
        <w:autoSpaceDN w:val="0"/>
        <w:adjustRightInd w:val="0"/>
        <w:spacing w:line="360" w:lineRule="auto"/>
        <w:ind w:firstLine="566" w:firstLineChars="236"/>
        <w:jc w:val="left"/>
        <w:rPr>
          <w:rFonts w:hint="default" w:ascii="Times New Roman"/>
          <w:color w:val="auto"/>
          <w:highlight w:val="none"/>
          <w:lang w:val="en-US"/>
        </w:rPr>
      </w:pPr>
      <w:r>
        <w:rPr>
          <w:rFonts w:hint="eastAsia" w:ascii="Times New Roman" w:hAnsi="Times New Roman" w:eastAsia="宋体" w:cs="Times New Roman"/>
          <w:color w:val="auto"/>
          <w:kern w:val="0"/>
          <w:sz w:val="24"/>
          <w:szCs w:val="21"/>
          <w:lang w:val="en-US" w:eastAsia="zh-CN"/>
        </w:rPr>
        <w:t>采购</w:t>
      </w:r>
      <w:r>
        <w:rPr>
          <w:rFonts w:hint="eastAsia" w:ascii="Times New Roman" w:hAnsi="Times New Roman" w:eastAsia="宋体" w:cs="Times New Roman"/>
          <w:color w:val="auto"/>
          <w:kern w:val="0"/>
          <w:sz w:val="24"/>
          <w:szCs w:val="21"/>
        </w:rPr>
        <w:t>货物</w:t>
      </w:r>
      <w:r>
        <w:rPr>
          <w:rFonts w:hint="eastAsia" w:ascii="Times New Roman" w:hAnsi="Times New Roman" w:eastAsia="宋体" w:cs="Times New Roman"/>
          <w:color w:val="auto"/>
          <w:kern w:val="0"/>
          <w:sz w:val="24"/>
          <w:szCs w:val="21"/>
          <w:lang w:val="en-US" w:eastAsia="zh-CN"/>
        </w:rPr>
        <w:t>范围</w:t>
      </w:r>
      <w:r>
        <w:rPr>
          <w:rFonts w:hint="eastAsia" w:ascii="Times New Roman" w:hAnsi="Times New Roman" w:eastAsia="宋体" w:cs="Times New Roman"/>
          <w:color w:val="auto"/>
          <w:kern w:val="0"/>
          <w:sz w:val="24"/>
          <w:szCs w:val="21"/>
        </w:rPr>
        <w:t>，</w:t>
      </w:r>
      <w:r>
        <w:rPr>
          <w:rFonts w:hint="eastAsia" w:ascii="Times New Roman" w:hAnsi="Times New Roman" w:eastAsia="宋体" w:cs="Times New Roman"/>
          <w:color w:val="auto"/>
          <w:kern w:val="0"/>
          <w:sz w:val="24"/>
          <w:szCs w:val="21"/>
          <w:lang w:val="en-US" w:eastAsia="zh-CN"/>
        </w:rPr>
        <w:t>包括边坡防护工程、给排水工程的钢筋、钢绞线、锚具采购，其型号及数量</w:t>
      </w:r>
      <w:r>
        <w:rPr>
          <w:rFonts w:hint="eastAsia" w:ascii="Times New Roman" w:hAnsi="Times New Roman" w:eastAsia="宋体" w:cs="Times New Roman"/>
          <w:color w:val="auto"/>
          <w:kern w:val="0"/>
          <w:sz w:val="24"/>
          <w:szCs w:val="21"/>
        </w:rPr>
        <w:t>具体</w:t>
      </w:r>
      <w:r>
        <w:rPr>
          <w:rFonts w:hint="eastAsia" w:ascii="Times New Roman" w:hAnsi="Times New Roman" w:eastAsia="宋体" w:cs="Times New Roman"/>
          <w:color w:val="auto"/>
          <w:kern w:val="0"/>
          <w:sz w:val="24"/>
          <w:szCs w:val="21"/>
          <w:lang w:val="en-US" w:eastAsia="zh-CN"/>
        </w:rPr>
        <w:t>见附件1：东莞市凤岗镇博深高速联络线及雁鸣湖路道路工程（一期）项目-边坡防护工程、给排水工程等工程钢筋、钢绞线等采购工程量清单</w:t>
      </w:r>
    </w:p>
    <w:p w14:paraId="3624674F">
      <w:pPr>
        <w:autoSpaceDE w:val="0"/>
        <w:autoSpaceDN w:val="0"/>
        <w:adjustRightInd w:val="0"/>
        <w:spacing w:line="360" w:lineRule="auto"/>
        <w:jc w:val="left"/>
        <w:rPr>
          <w:rFonts w:hint="eastAsia" w:ascii="Times New Roman" w:hAnsi="Times New Roman" w:eastAsia="宋体" w:cs="Times New Roman"/>
          <w:b/>
          <w:color w:val="auto"/>
          <w:kern w:val="0"/>
          <w:sz w:val="24"/>
          <w:szCs w:val="21"/>
          <w:lang w:val="en-US" w:eastAsia="zh-CN"/>
        </w:rPr>
      </w:pPr>
      <w:r>
        <w:rPr>
          <w:rFonts w:hint="eastAsia" w:ascii="Times New Roman" w:hAnsi="Times New Roman" w:eastAsia="宋体" w:cs="Times New Roman"/>
          <w:b/>
          <w:color w:val="auto"/>
          <w:kern w:val="0"/>
          <w:sz w:val="24"/>
          <w:szCs w:val="21"/>
          <w:lang w:val="en-US" w:eastAsia="zh-CN"/>
        </w:rPr>
        <w:t>三、交货要求</w:t>
      </w:r>
    </w:p>
    <w:p w14:paraId="3C0D9905">
      <w:pPr>
        <w:widowControl/>
        <w:autoSpaceDE w:val="0"/>
        <w:autoSpaceDN w:val="0"/>
        <w:adjustRightInd w:val="0"/>
        <w:spacing w:line="360" w:lineRule="auto"/>
        <w:ind w:right="-172" w:rightChars="-82" w:firstLine="424" w:firstLineChars="177"/>
        <w:jc w:val="left"/>
        <w:rPr>
          <w:rFonts w:ascii="Times New Roman" w:hAnsi="Times New Roman" w:eastAsia="宋体" w:cs="Times New Roman"/>
          <w:color w:val="auto"/>
          <w:kern w:val="0"/>
          <w:sz w:val="24"/>
          <w:szCs w:val="21"/>
          <w:highlight w:val="none"/>
        </w:rPr>
      </w:pPr>
      <w:r>
        <w:rPr>
          <w:rFonts w:ascii="Times New Roman" w:hAnsi="Times New Roman" w:eastAsia="宋体" w:cs="Times New Roman"/>
          <w:color w:val="auto"/>
          <w:kern w:val="0"/>
          <w:sz w:val="24"/>
          <w:szCs w:val="21"/>
          <w:highlight w:val="none"/>
        </w:rPr>
        <w:t>1. 交货期：</w:t>
      </w:r>
      <w:r>
        <w:rPr>
          <w:rFonts w:hint="eastAsia" w:ascii="Times New Roman" w:hAnsi="Times New Roman" w:eastAsia="宋体" w:cs="Times New Roman"/>
          <w:color w:val="auto"/>
          <w:kern w:val="0"/>
          <w:sz w:val="24"/>
          <w:szCs w:val="21"/>
          <w:highlight w:val="none"/>
          <w:lang w:val="en-US" w:eastAsia="zh-CN"/>
        </w:rPr>
        <w:t>分批交货</w:t>
      </w:r>
      <w:r>
        <w:rPr>
          <w:rFonts w:ascii="Times New Roman" w:hAnsi="Times New Roman" w:eastAsia="宋体" w:cs="Times New Roman"/>
          <w:color w:val="auto"/>
          <w:kern w:val="0"/>
          <w:sz w:val="24"/>
          <w:szCs w:val="21"/>
          <w:highlight w:val="none"/>
        </w:rPr>
        <w:t>，报价人需跟</w:t>
      </w:r>
      <w:r>
        <w:rPr>
          <w:rFonts w:hint="eastAsia" w:ascii="Times New Roman" w:hAnsi="Times New Roman" w:eastAsia="宋体" w:cs="Times New Roman"/>
          <w:color w:val="auto"/>
          <w:kern w:val="0"/>
          <w:sz w:val="24"/>
          <w:szCs w:val="21"/>
          <w:highlight w:val="none"/>
          <w:lang w:val="en-US" w:eastAsia="zh-CN"/>
        </w:rPr>
        <w:t>采购</w:t>
      </w:r>
      <w:r>
        <w:rPr>
          <w:rFonts w:ascii="Times New Roman" w:hAnsi="Times New Roman" w:eastAsia="宋体" w:cs="Times New Roman"/>
          <w:color w:val="auto"/>
          <w:kern w:val="0"/>
          <w:sz w:val="24"/>
          <w:szCs w:val="21"/>
          <w:highlight w:val="none"/>
        </w:rPr>
        <w:t>人</w:t>
      </w:r>
      <w:r>
        <w:rPr>
          <w:rFonts w:hint="eastAsia" w:ascii="Times New Roman" w:hAnsi="Times New Roman" w:eastAsia="宋体" w:cs="Times New Roman"/>
          <w:color w:val="auto"/>
          <w:kern w:val="0"/>
          <w:sz w:val="24"/>
          <w:szCs w:val="21"/>
          <w:highlight w:val="none"/>
          <w:lang w:val="en-US" w:eastAsia="zh-CN"/>
        </w:rPr>
        <w:t>提供的需求类型及数量</w:t>
      </w:r>
      <w:r>
        <w:rPr>
          <w:rFonts w:ascii="Times New Roman" w:hAnsi="Times New Roman" w:eastAsia="宋体" w:cs="Times New Roman"/>
          <w:color w:val="auto"/>
          <w:kern w:val="0"/>
          <w:sz w:val="24"/>
          <w:szCs w:val="21"/>
          <w:highlight w:val="none"/>
        </w:rPr>
        <w:t>，</w:t>
      </w:r>
      <w:r>
        <w:rPr>
          <w:rFonts w:hint="eastAsia" w:ascii="Times New Roman" w:hAnsi="Times New Roman" w:eastAsia="宋体" w:cs="Times New Roman"/>
          <w:color w:val="auto"/>
          <w:kern w:val="0"/>
          <w:sz w:val="24"/>
          <w:szCs w:val="21"/>
          <w:highlight w:val="none"/>
          <w:lang w:val="en-US" w:eastAsia="zh-CN"/>
        </w:rPr>
        <w:t>按需求时间</w:t>
      </w:r>
      <w:r>
        <w:rPr>
          <w:rFonts w:ascii="Times New Roman" w:hAnsi="Times New Roman" w:eastAsia="宋体" w:cs="Times New Roman"/>
          <w:color w:val="auto"/>
          <w:kern w:val="0"/>
          <w:sz w:val="24"/>
          <w:szCs w:val="21"/>
          <w:highlight w:val="none"/>
        </w:rPr>
        <w:t>交货。</w:t>
      </w:r>
    </w:p>
    <w:p w14:paraId="3BBDE2ED">
      <w:pPr>
        <w:widowControl/>
        <w:autoSpaceDE w:val="0"/>
        <w:autoSpaceDN w:val="0"/>
        <w:adjustRightInd w:val="0"/>
        <w:spacing w:line="360" w:lineRule="auto"/>
        <w:ind w:right="-172" w:rightChars="-82" w:firstLine="424" w:firstLineChars="177"/>
        <w:jc w:val="left"/>
        <w:rPr>
          <w:rFonts w:ascii="Times New Roman" w:hAnsi="Times New Roman" w:eastAsia="宋体" w:cs="Times New Roman"/>
          <w:color w:val="auto"/>
          <w:kern w:val="0"/>
          <w:sz w:val="24"/>
          <w:szCs w:val="21"/>
          <w:highlight w:val="none"/>
        </w:rPr>
      </w:pPr>
      <w:r>
        <w:rPr>
          <w:rFonts w:ascii="Times New Roman" w:hAnsi="Times New Roman" w:eastAsia="宋体" w:cs="Times New Roman"/>
          <w:color w:val="auto"/>
          <w:kern w:val="0"/>
          <w:sz w:val="24"/>
          <w:szCs w:val="21"/>
          <w:highlight w:val="none"/>
        </w:rPr>
        <w:t>2. 交货地点：</w:t>
      </w:r>
    </w:p>
    <w:tbl>
      <w:tblPr>
        <w:tblStyle w:val="5"/>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1324"/>
        <w:gridCol w:w="4280"/>
        <w:gridCol w:w="2467"/>
      </w:tblGrid>
      <w:tr w14:paraId="0FC53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713" w:type="dxa"/>
            <w:noWrap/>
            <w:vAlign w:val="center"/>
          </w:tcPr>
          <w:p w14:paraId="4063E77E">
            <w:pPr>
              <w:widowControl/>
              <w:spacing w:line="360" w:lineRule="auto"/>
              <w:jc w:val="center"/>
              <w:rPr>
                <w:rFonts w:ascii="Times New Roman"/>
                <w:b/>
                <w:bCs/>
                <w:color w:val="auto"/>
                <w:szCs w:val="21"/>
                <w:highlight w:val="none"/>
              </w:rPr>
            </w:pPr>
            <w:r>
              <w:rPr>
                <w:rFonts w:ascii="Times New Roman"/>
                <w:b/>
                <w:bCs/>
                <w:color w:val="auto"/>
                <w:szCs w:val="21"/>
                <w:highlight w:val="none"/>
              </w:rPr>
              <w:t>序号</w:t>
            </w:r>
          </w:p>
        </w:tc>
        <w:tc>
          <w:tcPr>
            <w:tcW w:w="1324" w:type="dxa"/>
            <w:vAlign w:val="center"/>
          </w:tcPr>
          <w:p w14:paraId="73DE4B34">
            <w:pPr>
              <w:widowControl/>
              <w:spacing w:line="360" w:lineRule="auto"/>
              <w:jc w:val="center"/>
              <w:rPr>
                <w:rFonts w:ascii="Times New Roman"/>
                <w:b/>
                <w:bCs/>
                <w:color w:val="auto"/>
                <w:szCs w:val="21"/>
                <w:highlight w:val="none"/>
              </w:rPr>
            </w:pPr>
            <w:r>
              <w:rPr>
                <w:rFonts w:hint="eastAsia" w:ascii="Times New Roman"/>
                <w:b/>
                <w:color w:val="auto"/>
                <w:szCs w:val="21"/>
                <w:highlight w:val="none"/>
              </w:rPr>
              <w:t>交货地点</w:t>
            </w:r>
          </w:p>
        </w:tc>
        <w:tc>
          <w:tcPr>
            <w:tcW w:w="4280" w:type="dxa"/>
            <w:vAlign w:val="center"/>
          </w:tcPr>
          <w:p w14:paraId="004C1059">
            <w:pPr>
              <w:widowControl/>
              <w:spacing w:line="360" w:lineRule="auto"/>
              <w:jc w:val="center"/>
              <w:rPr>
                <w:rFonts w:ascii="Times New Roman"/>
                <w:b/>
                <w:bCs/>
                <w:color w:val="auto"/>
                <w:szCs w:val="21"/>
                <w:highlight w:val="none"/>
              </w:rPr>
            </w:pPr>
            <w:r>
              <w:rPr>
                <w:rFonts w:hint="eastAsia" w:ascii="Times New Roman"/>
                <w:b/>
                <w:color w:val="auto"/>
                <w:szCs w:val="21"/>
                <w:highlight w:val="none"/>
              </w:rPr>
              <w:t>详细</w:t>
            </w:r>
            <w:r>
              <w:rPr>
                <w:rFonts w:ascii="Times New Roman"/>
                <w:b/>
                <w:color w:val="auto"/>
                <w:szCs w:val="21"/>
                <w:highlight w:val="none"/>
              </w:rPr>
              <w:t>地址</w:t>
            </w:r>
          </w:p>
        </w:tc>
        <w:tc>
          <w:tcPr>
            <w:tcW w:w="2467" w:type="dxa"/>
            <w:vAlign w:val="center"/>
          </w:tcPr>
          <w:p w14:paraId="2FAC6519">
            <w:pPr>
              <w:widowControl/>
              <w:spacing w:line="360" w:lineRule="auto"/>
              <w:jc w:val="center"/>
              <w:rPr>
                <w:rFonts w:ascii="Times New Roman"/>
                <w:b/>
                <w:bCs/>
                <w:color w:val="auto"/>
                <w:szCs w:val="21"/>
                <w:highlight w:val="none"/>
              </w:rPr>
            </w:pPr>
            <w:r>
              <w:rPr>
                <w:rFonts w:ascii="Times New Roman"/>
                <w:b/>
                <w:bCs/>
                <w:color w:val="auto"/>
                <w:szCs w:val="21"/>
                <w:highlight w:val="none"/>
              </w:rPr>
              <w:t>备注</w:t>
            </w:r>
          </w:p>
        </w:tc>
      </w:tr>
      <w:tr w14:paraId="600CF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713" w:type="dxa"/>
            <w:shd w:val="clear" w:color="auto" w:fill="auto"/>
            <w:noWrap/>
            <w:vAlign w:val="center"/>
          </w:tcPr>
          <w:p w14:paraId="4D599A5B">
            <w:pPr>
              <w:widowControl/>
              <w:jc w:val="center"/>
              <w:rPr>
                <w:rFonts w:ascii="Times New Roman"/>
                <w:color w:val="FF0000"/>
                <w:szCs w:val="21"/>
                <w:highlight w:val="none"/>
              </w:rPr>
            </w:pPr>
            <w:r>
              <w:rPr>
                <w:rFonts w:ascii="Times New Roman"/>
                <w:color w:val="auto"/>
                <w:szCs w:val="21"/>
              </w:rPr>
              <w:t>1</w:t>
            </w:r>
          </w:p>
        </w:tc>
        <w:tc>
          <w:tcPr>
            <w:tcW w:w="1324" w:type="dxa"/>
            <w:tcBorders>
              <w:right w:val="single" w:color="auto" w:sz="4" w:space="0"/>
            </w:tcBorders>
            <w:shd w:val="clear" w:color="auto" w:fill="auto"/>
            <w:vAlign w:val="center"/>
          </w:tcPr>
          <w:p w14:paraId="78358E43">
            <w:pPr>
              <w:widowControl/>
              <w:jc w:val="center"/>
              <w:rPr>
                <w:rFonts w:hint="default" w:ascii="Times New Roman"/>
                <w:color w:val="FF0000"/>
                <w:szCs w:val="21"/>
                <w:highlight w:val="none"/>
                <w:lang w:val="en-US"/>
              </w:rPr>
            </w:pPr>
            <w:r>
              <w:rPr>
                <w:rFonts w:hint="eastAsia" w:ascii="Times New Roman"/>
                <w:color w:val="auto"/>
                <w:szCs w:val="21"/>
                <w:lang w:val="en-US" w:eastAsia="zh-CN"/>
              </w:rPr>
              <w:t>东莞凤岗镇</w:t>
            </w:r>
          </w:p>
        </w:tc>
        <w:tc>
          <w:tcPr>
            <w:tcW w:w="4280" w:type="dxa"/>
            <w:shd w:val="clear" w:color="auto" w:fill="auto"/>
            <w:vAlign w:val="center"/>
          </w:tcPr>
          <w:p w14:paraId="74A78D98">
            <w:pPr>
              <w:widowControl/>
              <w:tabs>
                <w:tab w:val="left" w:pos="669"/>
              </w:tabs>
              <w:jc w:val="center"/>
              <w:rPr>
                <w:rFonts w:hint="default" w:ascii="Times New Roman" w:eastAsia="宋体"/>
                <w:color w:val="FF0000"/>
                <w:szCs w:val="21"/>
                <w:highlight w:val="none"/>
                <w:lang w:val="en-US" w:eastAsia="zh-CN"/>
              </w:rPr>
            </w:pPr>
            <w:r>
              <w:rPr>
                <w:rFonts w:hint="eastAsia" w:ascii="Times New Roman"/>
                <w:color w:val="auto"/>
                <w:szCs w:val="21"/>
                <w:lang w:val="en-US" w:eastAsia="zh-CN"/>
              </w:rPr>
              <w:t>/</w:t>
            </w:r>
          </w:p>
        </w:tc>
        <w:tc>
          <w:tcPr>
            <w:tcW w:w="2467" w:type="dxa"/>
            <w:shd w:val="clear" w:color="auto" w:fill="auto"/>
            <w:vAlign w:val="center"/>
          </w:tcPr>
          <w:p w14:paraId="761A30CF">
            <w:pPr>
              <w:widowControl/>
              <w:jc w:val="left"/>
              <w:rPr>
                <w:rFonts w:hint="default" w:ascii="Times New Roman" w:eastAsia="宋体"/>
                <w:color w:val="FF0000"/>
                <w:szCs w:val="21"/>
                <w:highlight w:val="none"/>
                <w:lang w:val="en-US" w:eastAsia="zh-CN"/>
              </w:rPr>
            </w:pPr>
            <w:r>
              <w:rPr>
                <w:rFonts w:hint="eastAsia" w:ascii="Times New Roman"/>
                <w:b w:val="0"/>
                <w:bCs w:val="0"/>
                <w:color w:val="auto"/>
                <w:sz w:val="24"/>
                <w:szCs w:val="24"/>
                <w:lang w:val="en-US" w:eastAsia="zh-CN"/>
              </w:rPr>
              <w:t>/</w:t>
            </w:r>
          </w:p>
        </w:tc>
      </w:tr>
    </w:tbl>
    <w:p w14:paraId="266ACACA">
      <w:pPr>
        <w:spacing w:line="360" w:lineRule="auto"/>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2.1在货物移交给采购人并经采购人验收合格前，货物的损耗、毁损、灭失的风险和责任均由供应商自行承担。</w:t>
      </w:r>
    </w:p>
    <w:p w14:paraId="5E352881">
      <w:pPr>
        <w:spacing w:line="360" w:lineRule="auto"/>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2.2 供货数量超过本合同数量10%时，供方应当书面通知采购人项目部并及时报采购人成本部进行确认和审核，经采购人成本部核准后方可供货，否则，采购人对于超额供货的不予确认和支付货款，一切责任由供方自行承担。</w:t>
      </w:r>
    </w:p>
    <w:p w14:paraId="44B7EE8A">
      <w:pPr>
        <w:spacing w:line="360" w:lineRule="auto"/>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2.3交货联系人：许立华；联系电话：15099789118。</w:t>
      </w:r>
    </w:p>
    <w:p w14:paraId="6EB9C0D2">
      <w:pPr>
        <w:numPr>
          <w:ilvl w:val="0"/>
          <w:numId w:val="1"/>
        </w:numPr>
        <w:spacing w:line="360" w:lineRule="auto"/>
        <w:ind w:firstLine="480" w:firstLineChars="200"/>
        <w:rPr>
          <w:rFonts w:hint="default"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所送钢筋、钢绞线、锚具及其配套件等必须确保送检合格，如送检不合格所以引起的一切费用由供货方承担。</w:t>
      </w:r>
    </w:p>
    <w:p w14:paraId="2ED49095">
      <w:pPr>
        <w:ind w:firstLine="480"/>
        <w:rPr>
          <w:rFonts w:hint="default" w:ascii="Times New Roman" w:hAnsi="Times New Roman" w:eastAsia="宋体" w:cs="Times New Roman"/>
          <w:b w:val="0"/>
          <w:bCs w:val="0"/>
          <w:color w:val="auto"/>
          <w:kern w:val="0"/>
          <w:sz w:val="24"/>
          <w:szCs w:val="21"/>
          <w:highlight w:val="none"/>
          <w:lang w:val="en-US" w:eastAsia="zh-CN" w:bidi="ar-SA"/>
        </w:rPr>
      </w:pPr>
    </w:p>
    <w:p w14:paraId="2CFC7D60">
      <w:pPr>
        <w:autoSpaceDE w:val="0"/>
        <w:autoSpaceDN w:val="0"/>
        <w:adjustRightInd w:val="0"/>
        <w:spacing w:line="360" w:lineRule="auto"/>
        <w:jc w:val="left"/>
        <w:rPr>
          <w:rFonts w:hint="eastAsia" w:ascii="Times New Roman" w:hAnsi="Times New Roman" w:eastAsia="宋体" w:cs="Times New Roman"/>
          <w:b/>
          <w:color w:val="auto"/>
          <w:kern w:val="0"/>
          <w:sz w:val="24"/>
          <w:szCs w:val="21"/>
          <w:lang w:val="en-US" w:eastAsia="zh-CN"/>
        </w:rPr>
      </w:pPr>
      <w:r>
        <w:rPr>
          <w:rFonts w:hint="eastAsia" w:ascii="Times New Roman" w:hAnsi="Times New Roman" w:eastAsia="宋体" w:cs="Times New Roman"/>
          <w:b/>
          <w:color w:val="auto"/>
          <w:kern w:val="0"/>
          <w:sz w:val="24"/>
          <w:szCs w:val="21"/>
          <w:lang w:val="en-US" w:eastAsia="zh-CN"/>
        </w:rPr>
        <w:t>四、技术要求</w:t>
      </w:r>
    </w:p>
    <w:p w14:paraId="34A36780">
      <w:pPr>
        <w:spacing w:line="360" w:lineRule="auto"/>
        <w:ind w:firstLine="480" w:firstLineChars="200"/>
        <w:rPr>
          <w:rFonts w:hint="default" w:ascii="宋体" w:hAnsi="宋体"/>
          <w:b w:val="0"/>
          <w:bCs w:val="0"/>
          <w:sz w:val="24"/>
          <w:lang w:val="en-US" w:eastAsia="zh-CN"/>
        </w:rPr>
      </w:pPr>
      <w:r>
        <w:rPr>
          <w:rFonts w:hint="eastAsia" w:ascii="宋体" w:hAnsi="宋体"/>
          <w:b w:val="0"/>
          <w:bCs w:val="0"/>
          <w:sz w:val="24"/>
          <w:lang w:val="en-US" w:eastAsia="zh-CN"/>
        </w:rPr>
        <w:t>1、</w:t>
      </w:r>
      <w:r>
        <w:rPr>
          <w:rFonts w:hint="eastAsia" w:ascii="Times New Roman" w:hAnsi="Times New Roman" w:eastAsia="宋体" w:cs="Times New Roman"/>
          <w:b w:val="0"/>
          <w:bCs w:val="0"/>
          <w:color w:val="auto"/>
          <w:kern w:val="0"/>
          <w:sz w:val="24"/>
          <w:szCs w:val="21"/>
          <w:highlight w:val="none"/>
          <w:lang w:val="en-US" w:eastAsia="zh-CN" w:bidi="ar-SA"/>
        </w:rPr>
        <w:t>钢筋、钢绞线、锚具的质量必须符合最新国家及行业标准和甲方要求，各项技术性能指标经第三方检测机构复试检验必须符合国家标准</w:t>
      </w:r>
      <w:r>
        <w:rPr>
          <w:rFonts w:hint="eastAsia" w:ascii="宋体" w:hAnsi="宋体"/>
          <w:b w:val="0"/>
          <w:bCs w:val="0"/>
          <w:sz w:val="24"/>
          <w:lang w:val="en-US" w:eastAsia="zh-CN"/>
        </w:rPr>
        <w:t>。</w:t>
      </w:r>
    </w:p>
    <w:p w14:paraId="14578A8D">
      <w:pPr>
        <w:spacing w:line="360" w:lineRule="auto"/>
        <w:ind w:firstLine="480" w:firstLineChars="200"/>
        <w:rPr>
          <w:rFonts w:hint="eastAsia" w:ascii="宋体" w:hAnsi="宋体"/>
          <w:b w:val="0"/>
          <w:bCs w:val="0"/>
          <w:sz w:val="24"/>
          <w:lang w:val="en-US" w:eastAsia="zh-CN"/>
        </w:rPr>
      </w:pPr>
      <w:r>
        <w:rPr>
          <w:rFonts w:hint="eastAsia" w:ascii="宋体" w:hAnsi="宋体"/>
          <w:b w:val="0"/>
          <w:bCs w:val="0"/>
          <w:sz w:val="24"/>
          <w:lang w:val="en-US" w:eastAsia="zh-CN"/>
        </w:rPr>
        <w:t xml:space="preserve">2、锚杆(索)辅材 </w:t>
      </w:r>
    </w:p>
    <w:p w14:paraId="582E9879">
      <w:pPr>
        <w:spacing w:line="360" w:lineRule="auto"/>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r>
        <w:rPr>
          <w:rFonts w:hint="eastAsia" w:ascii="宋体" w:hAnsi="宋体"/>
          <w:b w:val="0"/>
          <w:bCs w:val="0"/>
          <w:sz w:val="24"/>
          <w:lang w:val="en-US" w:eastAsia="zh-CN"/>
        </w:rPr>
        <w:t xml:space="preserve">钢质承载板要求采用45号钢材加工制作，其厚度不小于2cm。弯曲强度≥85MPa，压缩强度≥110MPa。 </w:t>
      </w:r>
    </w:p>
    <w:p w14:paraId="7BB1FCE9">
      <w:pPr>
        <w:autoSpaceDE w:val="0"/>
        <w:autoSpaceDN w:val="0"/>
        <w:adjustRightInd w:val="0"/>
        <w:spacing w:line="360" w:lineRule="auto"/>
        <w:jc w:val="left"/>
        <w:rPr>
          <w:rFonts w:hint="eastAsia" w:ascii="Times New Roman" w:hAnsi="Times New Roman" w:eastAsia="宋体" w:cs="Times New Roman"/>
          <w:b/>
          <w:color w:val="auto"/>
          <w:kern w:val="0"/>
          <w:sz w:val="24"/>
          <w:szCs w:val="21"/>
          <w:lang w:val="en-US" w:eastAsia="zh-CN"/>
        </w:rPr>
      </w:pPr>
      <w:r>
        <w:rPr>
          <w:rFonts w:hint="eastAsia" w:ascii="Times New Roman" w:hAnsi="Times New Roman" w:eastAsia="宋体" w:cs="Times New Roman"/>
          <w:b/>
          <w:color w:val="auto"/>
          <w:kern w:val="0"/>
          <w:sz w:val="24"/>
          <w:szCs w:val="21"/>
          <w:lang w:val="en-US" w:eastAsia="zh-CN"/>
        </w:rPr>
        <w:t>五、质量与验收要求</w:t>
      </w:r>
    </w:p>
    <w:p w14:paraId="31D4D246">
      <w:pPr>
        <w:numPr>
          <w:ilvl w:val="0"/>
          <w:numId w:val="0"/>
        </w:numPr>
        <w:spacing w:line="360" w:lineRule="auto"/>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质量标准：以国家现行标准要求为准。</w:t>
      </w:r>
    </w:p>
    <w:p w14:paraId="3F658D99">
      <w:pPr>
        <w:spacing w:line="356" w:lineRule="exact"/>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外观验收：钢筋、钢绞线、锚具及其配套件表面不得有裂纹、结疤、折叠、锈蚀等严重影响质量的缺陷。</w:t>
      </w:r>
    </w:p>
    <w:p w14:paraId="49204DB3">
      <w:pPr>
        <w:spacing w:line="356" w:lineRule="exact"/>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文件验收：每批货必须随车提供质量证明书（材质单）原件，钢筋、钢绞线、锚具及其配套件进场需提供各种规格厂家质量证明文件复印件加盖厂家或供货商公章，合格证，其内容必须与实物标牌信息相符。</w:t>
      </w:r>
    </w:p>
    <w:p w14:paraId="1437B18A">
      <w:pPr>
        <w:spacing w:line="356" w:lineRule="exact"/>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抽检复试： 我方及监理方有权按规范要求现场取样送有资质的第三方检测机构进行复试。如复试不合格，该批钢筋、钢绞线、锚具及其配套件视为不合格品，供方必须无条件立即退货，并承担由此产生的一切费用（包括但不限于复试费、工期延误损失等），我方并有权追究其违约责任。</w:t>
      </w:r>
    </w:p>
    <w:p w14:paraId="792ACC10">
      <w:pPr>
        <w:spacing w:line="356" w:lineRule="exact"/>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数量验收：线材采用理论重量计算方法计量、盘螺钢筋、钢绞线材料数量验收采用甲方指定的过磅站过磅计量：过磅时，乙方派人员到现场，双方见证、签字确认，钢筋钢绞线数量以甲方签认的材料验收单数量为结算依据。锚具及其配套件数量验收按实际送货数量清点数量计算。</w:t>
      </w:r>
    </w:p>
    <w:p w14:paraId="423AF3E4">
      <w:pPr>
        <w:autoSpaceDE w:val="0"/>
        <w:autoSpaceDN w:val="0"/>
        <w:adjustRightInd w:val="0"/>
        <w:spacing w:line="360" w:lineRule="auto"/>
        <w:jc w:val="left"/>
        <w:rPr>
          <w:rFonts w:hint="eastAsia" w:ascii="Times New Roman" w:hAnsi="Times New Roman" w:eastAsia="宋体" w:cs="Times New Roman"/>
          <w:b/>
          <w:color w:val="auto"/>
          <w:kern w:val="0"/>
          <w:sz w:val="24"/>
          <w:szCs w:val="21"/>
          <w:lang w:val="en-US" w:eastAsia="zh-CN"/>
        </w:rPr>
      </w:pPr>
      <w:r>
        <w:rPr>
          <w:rFonts w:hint="eastAsia" w:ascii="Times New Roman" w:hAnsi="Times New Roman" w:eastAsia="宋体" w:cs="Times New Roman"/>
          <w:b/>
          <w:color w:val="auto"/>
          <w:kern w:val="0"/>
          <w:sz w:val="24"/>
          <w:szCs w:val="21"/>
          <w:lang w:val="en-US" w:eastAsia="zh-CN"/>
        </w:rPr>
        <w:t>六、报价及款项支付</w:t>
      </w:r>
    </w:p>
    <w:p w14:paraId="5B7E1FB2">
      <w:pPr>
        <w:spacing w:line="360" w:lineRule="auto"/>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1.费用范围</w:t>
      </w:r>
    </w:p>
    <w:p w14:paraId="0F60E533">
      <w:pPr>
        <w:spacing w:line="360" w:lineRule="auto"/>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本项目报价包括但不限于材料采购费用、装卸</w:t>
      </w:r>
      <w:bookmarkStart w:id="0" w:name="_GoBack"/>
      <w:bookmarkEnd w:id="0"/>
      <w:r>
        <w:rPr>
          <w:rFonts w:hint="eastAsia" w:ascii="Times New Roman" w:hAnsi="Times New Roman" w:eastAsia="宋体" w:cs="Times New Roman"/>
          <w:b w:val="0"/>
          <w:bCs w:val="0"/>
          <w:color w:val="auto"/>
          <w:kern w:val="0"/>
          <w:sz w:val="24"/>
          <w:szCs w:val="21"/>
          <w:highlight w:val="none"/>
          <w:lang w:val="en-US" w:eastAsia="zh-CN" w:bidi="ar-SA"/>
        </w:rPr>
        <w:t>车费、运杂费、钢筋出厂前检测费、正常保险费、配合完成货物交付的人工费等完成项目的全部费用。</w:t>
      </w:r>
    </w:p>
    <w:p w14:paraId="7DBF7939">
      <w:pPr>
        <w:spacing w:line="360" w:lineRule="auto"/>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2.付款方式</w:t>
      </w:r>
    </w:p>
    <w:p w14:paraId="4E8F3C84">
      <w:pPr>
        <w:spacing w:line="360" w:lineRule="auto"/>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本合同下所有款项均使用人民币支付。</w:t>
      </w:r>
    </w:p>
    <w:p w14:paraId="4D4C0DAE">
      <w:pPr>
        <w:spacing w:line="360" w:lineRule="auto"/>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p>
    <w:p w14:paraId="043A226F">
      <w:pPr>
        <w:spacing w:line="360" w:lineRule="auto"/>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p>
    <w:p w14:paraId="34ECC718">
      <w:pPr>
        <w:spacing w:line="360" w:lineRule="auto"/>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p>
    <w:p w14:paraId="67E29FAB">
      <w:pPr>
        <w:rPr>
          <w:color w:val="auto"/>
          <w:highlight w:val="none"/>
        </w:rPr>
      </w:pPr>
    </w:p>
    <w:sectPr>
      <w:foot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669A0F">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-36195</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599934">
                          <w:pPr>
                            <w:pStyle w:val="4"/>
                          </w:pPr>
                          <w:r>
                            <w:rPr>
                              <w:rFonts w:hint="eastAsia" w:ascii="仿宋_GB2312" w:hAnsi="仿宋_GB2312" w:eastAsia="仿宋_GB2312" w:cs="仿宋_GB2312"/>
                              <w:sz w:val="26"/>
                              <w:szCs w:val="26"/>
                            </w:rPr>
                            <w:fldChar w:fldCharType="begin"/>
                          </w:r>
                          <w:r>
                            <w:rPr>
                              <w:rFonts w:hint="eastAsia" w:ascii="仿宋_GB2312" w:hAnsi="仿宋_GB2312" w:eastAsia="仿宋_GB2312" w:cs="仿宋_GB2312"/>
                              <w:sz w:val="26"/>
                              <w:szCs w:val="26"/>
                            </w:rPr>
                            <w:instrText xml:space="preserve"> PAGE  \* MERGEFORMAT </w:instrText>
                          </w:r>
                          <w:r>
                            <w:rPr>
                              <w:rFonts w:hint="eastAsia" w:ascii="仿宋_GB2312" w:hAnsi="仿宋_GB2312" w:eastAsia="仿宋_GB2312" w:cs="仿宋_GB2312"/>
                              <w:sz w:val="26"/>
                              <w:szCs w:val="26"/>
                            </w:rPr>
                            <w:fldChar w:fldCharType="separate"/>
                          </w:r>
                          <w:r>
                            <w:rPr>
                              <w:rFonts w:ascii="仿宋_GB2312" w:hAnsi="仿宋_GB2312" w:eastAsia="仿宋_GB2312" w:cs="仿宋_GB2312"/>
                              <w:sz w:val="26"/>
                              <w:szCs w:val="26"/>
                            </w:rPr>
                            <w:t>21</w:t>
                          </w:r>
                          <w:r>
                            <w:rPr>
                              <w:rFonts w:hint="eastAsia" w:ascii="仿宋_GB2312" w:hAnsi="仿宋_GB2312" w:eastAsia="仿宋_GB2312" w:cs="仿宋_GB2312"/>
                              <w:sz w:val="26"/>
                              <w:szCs w:val="26"/>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2.85pt;height:144pt;width:144pt;mso-position-horizontal:center;mso-position-horizontal-relative:margin;mso-wrap-style:none;z-index:251659264;mso-width-relative:page;mso-height-relative:page;" filled="f" stroked="f" coordsize="21600,21600" o:gfxdata="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eIcAetUAAAAHAQAADwAAAAAAAAABACAAAAAiAAAAZHJzL2Rvd25yZXYueG1sUEsBAhQAFAAA&#10;AAgAh07iQAVhjD8rAgAAVQQAAA4AAAAAAAAAAQAgAAAAJAEAAGRycy9lMm9Eb2MueG1sUEsFBgAA&#10;AAAGAAYAWQEAAMEFAAAAAA==&#10;">
              <v:fill on="f" focussize="0,0"/>
              <v:stroke on="f" weight="0.5pt"/>
              <v:imagedata o:title=""/>
              <o:lock v:ext="edit" aspectratio="f"/>
              <v:textbox inset="0mm,0mm,0mm,0mm" style="mso-fit-shape-to-text:t;">
                <w:txbxContent>
                  <w:p w14:paraId="26599934">
                    <w:pPr>
                      <w:pStyle w:val="4"/>
                    </w:pPr>
                    <w:r>
                      <w:rPr>
                        <w:rFonts w:hint="eastAsia" w:ascii="仿宋_GB2312" w:hAnsi="仿宋_GB2312" w:eastAsia="仿宋_GB2312" w:cs="仿宋_GB2312"/>
                        <w:sz w:val="26"/>
                        <w:szCs w:val="26"/>
                      </w:rPr>
                      <w:fldChar w:fldCharType="begin"/>
                    </w:r>
                    <w:r>
                      <w:rPr>
                        <w:rFonts w:hint="eastAsia" w:ascii="仿宋_GB2312" w:hAnsi="仿宋_GB2312" w:eastAsia="仿宋_GB2312" w:cs="仿宋_GB2312"/>
                        <w:sz w:val="26"/>
                        <w:szCs w:val="26"/>
                      </w:rPr>
                      <w:instrText xml:space="preserve"> PAGE  \* MERGEFORMAT </w:instrText>
                    </w:r>
                    <w:r>
                      <w:rPr>
                        <w:rFonts w:hint="eastAsia" w:ascii="仿宋_GB2312" w:hAnsi="仿宋_GB2312" w:eastAsia="仿宋_GB2312" w:cs="仿宋_GB2312"/>
                        <w:sz w:val="26"/>
                        <w:szCs w:val="26"/>
                      </w:rPr>
                      <w:fldChar w:fldCharType="separate"/>
                    </w:r>
                    <w:r>
                      <w:rPr>
                        <w:rFonts w:ascii="仿宋_GB2312" w:hAnsi="仿宋_GB2312" w:eastAsia="仿宋_GB2312" w:cs="仿宋_GB2312"/>
                        <w:sz w:val="26"/>
                        <w:szCs w:val="26"/>
                      </w:rPr>
                      <w:t>21</w:t>
                    </w:r>
                    <w:r>
                      <w:rPr>
                        <w:rFonts w:hint="eastAsia" w:ascii="仿宋_GB2312" w:hAnsi="仿宋_GB2312" w:eastAsia="仿宋_GB2312" w:cs="仿宋_GB2312"/>
                        <w:sz w:val="26"/>
                        <w:szCs w:val="26"/>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F180FD"/>
    <w:multiLevelType w:val="singleLevel"/>
    <w:tmpl w:val="ACF180FD"/>
    <w:lvl w:ilvl="0" w:tentative="0">
      <w:start w:val="3"/>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jMTY3NjZjYzhhMTI2OTFhOGViZTYyMWUzMDlhZjMifQ=="/>
  </w:docVars>
  <w:rsids>
    <w:rsidRoot w:val="4D8643E0"/>
    <w:rsid w:val="03327A27"/>
    <w:rsid w:val="04A53192"/>
    <w:rsid w:val="05763A35"/>
    <w:rsid w:val="05882A67"/>
    <w:rsid w:val="087C2EA8"/>
    <w:rsid w:val="0997694A"/>
    <w:rsid w:val="0DAD5C2D"/>
    <w:rsid w:val="0E7B4E57"/>
    <w:rsid w:val="0F880A70"/>
    <w:rsid w:val="10973DDD"/>
    <w:rsid w:val="116B779F"/>
    <w:rsid w:val="13B16360"/>
    <w:rsid w:val="14671706"/>
    <w:rsid w:val="147070BD"/>
    <w:rsid w:val="14D27CBD"/>
    <w:rsid w:val="185D751D"/>
    <w:rsid w:val="18ED5373"/>
    <w:rsid w:val="19B7465C"/>
    <w:rsid w:val="19E32408"/>
    <w:rsid w:val="1C9B548E"/>
    <w:rsid w:val="1E1259E5"/>
    <w:rsid w:val="1FDA5F4A"/>
    <w:rsid w:val="203B2D6E"/>
    <w:rsid w:val="21EB5535"/>
    <w:rsid w:val="22EF2060"/>
    <w:rsid w:val="2312529B"/>
    <w:rsid w:val="241B77F7"/>
    <w:rsid w:val="24BA5227"/>
    <w:rsid w:val="268C2428"/>
    <w:rsid w:val="272E2DD0"/>
    <w:rsid w:val="27F13A82"/>
    <w:rsid w:val="286F5EE4"/>
    <w:rsid w:val="291F241F"/>
    <w:rsid w:val="298F59C7"/>
    <w:rsid w:val="2A05072C"/>
    <w:rsid w:val="2A3113C8"/>
    <w:rsid w:val="2EC40ADD"/>
    <w:rsid w:val="2FBD9894"/>
    <w:rsid w:val="2FF43998"/>
    <w:rsid w:val="30C857FB"/>
    <w:rsid w:val="32211D5F"/>
    <w:rsid w:val="323C30E8"/>
    <w:rsid w:val="35F431F3"/>
    <w:rsid w:val="36372C24"/>
    <w:rsid w:val="36A501BB"/>
    <w:rsid w:val="37962B47"/>
    <w:rsid w:val="38A56658"/>
    <w:rsid w:val="3C036812"/>
    <w:rsid w:val="3C0A11D2"/>
    <w:rsid w:val="3CBB2F57"/>
    <w:rsid w:val="3D0F7C19"/>
    <w:rsid w:val="3E173926"/>
    <w:rsid w:val="41361759"/>
    <w:rsid w:val="427B2F05"/>
    <w:rsid w:val="42C426E2"/>
    <w:rsid w:val="452E274E"/>
    <w:rsid w:val="45B34499"/>
    <w:rsid w:val="464C6DE0"/>
    <w:rsid w:val="47D429C9"/>
    <w:rsid w:val="485E2293"/>
    <w:rsid w:val="48696672"/>
    <w:rsid w:val="4956761B"/>
    <w:rsid w:val="49DE7F8B"/>
    <w:rsid w:val="4B4D0363"/>
    <w:rsid w:val="4B6D5CAC"/>
    <w:rsid w:val="4BDF1E17"/>
    <w:rsid w:val="4BF57772"/>
    <w:rsid w:val="4CC05512"/>
    <w:rsid w:val="4D8643E0"/>
    <w:rsid w:val="4EA964BB"/>
    <w:rsid w:val="4EB430EA"/>
    <w:rsid w:val="4FAE12B9"/>
    <w:rsid w:val="51352C43"/>
    <w:rsid w:val="518E62F0"/>
    <w:rsid w:val="522E3BDE"/>
    <w:rsid w:val="5714645E"/>
    <w:rsid w:val="58367B3E"/>
    <w:rsid w:val="5A142C26"/>
    <w:rsid w:val="5B770D08"/>
    <w:rsid w:val="5C6A12EC"/>
    <w:rsid w:val="5CC02019"/>
    <w:rsid w:val="5D756A4B"/>
    <w:rsid w:val="5E1B624F"/>
    <w:rsid w:val="5E7F5697"/>
    <w:rsid w:val="64A83BFF"/>
    <w:rsid w:val="6519386E"/>
    <w:rsid w:val="653B7391"/>
    <w:rsid w:val="697B0543"/>
    <w:rsid w:val="6AD74F5E"/>
    <w:rsid w:val="6B7F2843"/>
    <w:rsid w:val="6B9721E7"/>
    <w:rsid w:val="6DB46109"/>
    <w:rsid w:val="6E82340B"/>
    <w:rsid w:val="6EEB2223"/>
    <w:rsid w:val="6F665E14"/>
    <w:rsid w:val="704C7AE9"/>
    <w:rsid w:val="70716758"/>
    <w:rsid w:val="70734988"/>
    <w:rsid w:val="71EF202A"/>
    <w:rsid w:val="72240B8C"/>
    <w:rsid w:val="75144B24"/>
    <w:rsid w:val="75A471F3"/>
    <w:rsid w:val="75BB4A7F"/>
    <w:rsid w:val="774B1AB0"/>
    <w:rsid w:val="775355E2"/>
    <w:rsid w:val="77DF233D"/>
    <w:rsid w:val="783962C0"/>
    <w:rsid w:val="7A884DCA"/>
    <w:rsid w:val="7B1C74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340" w:after="330" w:line="360" w:lineRule="auto"/>
      <w:outlineLvl w:val="0"/>
    </w:pPr>
    <w:rPr>
      <w:b/>
      <w:bCs/>
      <w:kern w:val="44"/>
      <w:sz w:val="32"/>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customStyle="1" w:styleId="7">
    <w:name w:val="彩色列表 - 强调文字颜色 11"/>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1143</Words>
  <Characters>1179</Characters>
  <Lines>0</Lines>
  <Paragraphs>0</Paragraphs>
  <TotalTime>3</TotalTime>
  <ScaleCrop>false</ScaleCrop>
  <LinksUpToDate>false</LinksUpToDate>
  <CharactersWithSpaces>1186</CharactersWithSpaces>
  <Application>WPS Office_12.1.0.23539_F1E327BC-269C-435d-A152-05C5408002CA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2022-10-31T17:52:00Z</dcterms:created>
  <dc:creator>oyaaaaa</dc:creator>
  <cp:lastModifiedBy>华</cp:lastModifiedBy>
  <dcterms:modified xsi:type="dcterms:W3CDTF">2025-12-05T08:00:57Z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2052-12.1.0.23539</vt:lpwstr>
  </property>
  <property fmtid="{D5CDD505-2E9C-101B-9397-08002B2CF9AE}" pid="3" name="ICV">
    <vt:lpwstr>C31B370768974D01BCB0C4825F7C3248_13</vt:lpwstr>
  </property>
  <property fmtid="{D5CDD505-2E9C-101B-9397-08002B2CF9AE}" pid="4" name="KSOTemplateDocerSaveRecord">
    <vt:lpwstr>eyJoZGlkIjoiMDNiYjE1MTM5OTI4NDEzYjJhMmY2MGUzZGZkODM4NzgiLCJ1c2VySWQiOiIyMDYzNjczNDkifQ==</vt:lpwstr>
  </property>
</Properties>
</file>