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529AA">
      <w:pPr>
        <w:jc w:val="center"/>
        <w:rPr>
          <w:rFonts w:hint="eastAsia" w:ascii="仿宋" w:hAnsi="仿宋" w:eastAsia="仿宋"/>
          <w:b/>
          <w:sz w:val="32"/>
          <w:szCs w:val="32"/>
        </w:rPr>
      </w:pPr>
      <w:r>
        <w:rPr>
          <w:rFonts w:hint="eastAsia" w:ascii="仿宋" w:hAnsi="仿宋" w:eastAsia="仿宋"/>
          <w:b/>
          <w:sz w:val="32"/>
          <w:szCs w:val="32"/>
          <w:lang w:val="en-US" w:eastAsia="zh-CN"/>
        </w:rPr>
        <w:t>市政检查井井盖材料</w:t>
      </w:r>
      <w:r>
        <w:rPr>
          <w:rFonts w:hint="eastAsia" w:ascii="仿宋" w:hAnsi="仿宋" w:eastAsia="仿宋"/>
          <w:b/>
          <w:sz w:val="32"/>
          <w:szCs w:val="32"/>
        </w:rPr>
        <w:t>采购用户需求书</w:t>
      </w:r>
    </w:p>
    <w:p w14:paraId="44632C3F">
      <w:pPr>
        <w:rPr>
          <w:rFonts w:hint="eastAsia" w:ascii="仿宋" w:hAnsi="仿宋" w:eastAsia="仿宋"/>
          <w:b/>
          <w:sz w:val="28"/>
          <w:szCs w:val="28"/>
        </w:rPr>
      </w:pPr>
      <w:r>
        <w:rPr>
          <w:rFonts w:hint="eastAsia" w:ascii="仿宋" w:hAnsi="仿宋" w:eastAsia="仿宋"/>
          <w:b/>
          <w:sz w:val="28"/>
          <w:szCs w:val="28"/>
        </w:rPr>
        <w:t>一、</w:t>
      </w:r>
      <w:r>
        <w:rPr>
          <w:rFonts w:hint="eastAsia" w:ascii="仿宋" w:hAnsi="仿宋" w:eastAsia="仿宋"/>
          <w:b/>
          <w:sz w:val="28"/>
          <w:szCs w:val="28"/>
          <w:lang w:val="en-US" w:eastAsia="zh-CN"/>
        </w:rPr>
        <w:t>材料</w:t>
      </w:r>
      <w:r>
        <w:rPr>
          <w:rFonts w:hint="eastAsia" w:ascii="仿宋" w:hAnsi="仿宋" w:eastAsia="仿宋"/>
          <w:b/>
          <w:sz w:val="28"/>
          <w:szCs w:val="28"/>
        </w:rPr>
        <w:t>技术要求</w:t>
      </w:r>
    </w:p>
    <w:p w14:paraId="76E3D938">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执行标准</w:t>
      </w:r>
      <w:r>
        <w:rPr>
          <w:rFonts w:hint="default" w:ascii="仿宋" w:hAnsi="仿宋" w:eastAsia="仿宋"/>
          <w:b/>
          <w:bCs w:val="0"/>
          <w:sz w:val="21"/>
          <w:szCs w:val="21"/>
          <w:lang w:val="en-US" w:eastAsia="zh-CN"/>
        </w:rPr>
        <w:t>如下：</w:t>
      </w:r>
    </w:p>
    <w:p w14:paraId="4AC08D50">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所有检查井井盖等材料必须符合以下最新国家标准，并提供相应材质证明：</w:t>
      </w:r>
    </w:p>
    <w:p w14:paraId="2B250172">
      <w:pPr>
        <w:numPr>
          <w:ilvl w:val="0"/>
          <w:numId w:val="0"/>
        </w:numPr>
        <w:ind w:firstLine="420" w:firstLineChars="200"/>
        <w:rPr>
          <w:rFonts w:hint="eastAsia" w:ascii="仿宋" w:hAnsi="仿宋" w:eastAsia="仿宋"/>
          <w:b w:val="0"/>
          <w:bCs/>
          <w:sz w:val="21"/>
          <w:szCs w:val="21"/>
          <w:lang w:val="en-US" w:eastAsia="zh-CN"/>
        </w:rPr>
      </w:pPr>
      <w:r>
        <w:rPr>
          <w:rFonts w:hint="eastAsia" w:ascii="仿宋" w:hAnsi="仿宋" w:eastAsia="仿宋" w:cstheme="minorBidi"/>
          <w:b w:val="0"/>
          <w:bCs/>
          <w:kern w:val="2"/>
          <w:sz w:val="21"/>
          <w:szCs w:val="21"/>
          <w:lang w:val="en-US" w:eastAsia="zh-CN" w:bidi="ar-SA"/>
        </w:rPr>
        <w:t>1、GB/T 23858-2009《检查井盖》</w:t>
      </w:r>
      <w:r>
        <w:rPr>
          <w:rFonts w:hint="eastAsia" w:ascii="仿宋" w:hAnsi="仿宋" w:eastAsia="仿宋"/>
          <w:b w:val="0"/>
          <w:bCs/>
          <w:sz w:val="21"/>
          <w:szCs w:val="21"/>
          <w:lang w:val="en-US" w:eastAsia="zh-CN"/>
        </w:rPr>
        <w:t>;</w:t>
      </w:r>
    </w:p>
    <w:p w14:paraId="224377F0">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2、GB/T 13295-2019《水及燃气用球墨铸铁管、管件和附件》</w:t>
      </w:r>
      <w:r>
        <w:rPr>
          <w:rFonts w:hint="eastAsia" w:ascii="仿宋" w:hAnsi="仿宋" w:eastAsia="仿宋"/>
          <w:b w:val="0"/>
          <w:bCs/>
          <w:sz w:val="21"/>
          <w:szCs w:val="21"/>
          <w:lang w:val="en-US" w:eastAsia="zh-CN"/>
        </w:rPr>
        <w:t>;</w:t>
      </w:r>
    </w:p>
    <w:p w14:paraId="07039A75">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3、GB/T 1348-2019《球墨铸铁件》</w:t>
      </w:r>
    </w:p>
    <w:p w14:paraId="4078D0A9">
      <w:pPr>
        <w:numPr>
          <w:ilvl w:val="0"/>
          <w:numId w:val="0"/>
        </w:numPr>
        <w:ind w:firstLine="420" w:firstLineChars="200"/>
        <w:rPr>
          <w:rFonts w:hint="default" w:ascii="仿宋" w:hAnsi="仿宋" w:eastAsia="仿宋"/>
          <w:b w:val="0"/>
          <w:bCs/>
          <w:sz w:val="21"/>
          <w:szCs w:val="21"/>
          <w:lang w:val="en-US" w:eastAsia="zh-CN"/>
        </w:rPr>
      </w:pPr>
      <w:r>
        <w:rPr>
          <w:rFonts w:hint="default" w:ascii="仿宋" w:hAnsi="仿宋" w:eastAsia="仿宋" w:cstheme="minorBidi"/>
          <w:b w:val="0"/>
          <w:bCs/>
          <w:kern w:val="2"/>
          <w:sz w:val="21"/>
          <w:szCs w:val="21"/>
          <w:lang w:val="en-US" w:eastAsia="zh-CN" w:bidi="ar-SA"/>
        </w:rPr>
        <w:t>4、CJ/T 511-2017《重力排水检查井盖》</w:t>
      </w:r>
    </w:p>
    <w:p w14:paraId="5FBE0500">
      <w:pPr>
        <w:ind w:firstLine="422" w:firstLineChars="200"/>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材料验收标准：</w:t>
      </w:r>
      <w:r>
        <w:rPr>
          <w:rFonts w:hint="default" w:ascii="仿宋" w:hAnsi="仿宋" w:eastAsia="仿宋"/>
          <w:b w:val="0"/>
          <w:bCs/>
          <w:sz w:val="21"/>
          <w:szCs w:val="21"/>
          <w:lang w:val="en-US" w:eastAsia="zh-CN"/>
        </w:rPr>
        <w:t>以国家现行标准</w:t>
      </w:r>
      <w:r>
        <w:rPr>
          <w:rFonts w:hint="eastAsia" w:ascii="仿宋" w:hAnsi="仿宋" w:eastAsia="仿宋"/>
          <w:b w:val="0"/>
          <w:bCs/>
          <w:sz w:val="21"/>
          <w:szCs w:val="21"/>
          <w:lang w:val="en-US" w:eastAsia="zh-CN"/>
        </w:rPr>
        <w:t>、设计图纸、清单</w:t>
      </w:r>
      <w:r>
        <w:rPr>
          <w:rFonts w:hint="default" w:ascii="仿宋" w:hAnsi="仿宋" w:eastAsia="仿宋"/>
          <w:b w:val="0"/>
          <w:bCs/>
          <w:sz w:val="21"/>
          <w:szCs w:val="21"/>
          <w:lang w:val="en-US" w:eastAsia="zh-CN"/>
        </w:rPr>
        <w:t>和本需求书要求为准。</w:t>
      </w:r>
    </w:p>
    <w:p w14:paraId="26E6E72F">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1.</w:t>
      </w:r>
      <w:r>
        <w:rPr>
          <w:rFonts w:hint="eastAsia" w:ascii="仿宋" w:hAnsi="仿宋" w:eastAsia="仿宋"/>
          <w:b w:val="0"/>
          <w:bCs/>
          <w:sz w:val="21"/>
          <w:szCs w:val="21"/>
          <w:lang w:val="en-US" w:eastAsia="zh-CN"/>
        </w:rPr>
        <w:t>允许尺寸偏差</w:t>
      </w:r>
    </w:p>
    <w:tbl>
      <w:tblPr>
        <w:tblStyle w:val="5"/>
        <w:tblW w:w="0" w:type="auto"/>
        <w:tblInd w:w="4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73"/>
        <w:gridCol w:w="2994"/>
        <w:gridCol w:w="556"/>
        <w:gridCol w:w="834"/>
      </w:tblGrid>
      <w:tr w14:paraId="0082F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19" w:hRule="atLeast"/>
        </w:trPr>
        <w:tc>
          <w:tcPr>
            <w:tcW w:w="673" w:type="dxa"/>
            <w:tcBorders>
              <w:top w:val="nil"/>
              <w:left w:val="nil"/>
              <w:bottom w:val="single" w:color="F0F0F0" w:sz="6" w:space="0"/>
              <w:right w:val="nil"/>
            </w:tcBorders>
            <w:shd w:val="clear" w:color="auto" w:fill="FFFFFF"/>
            <w:tcMar>
              <w:top w:w="150" w:type="dxa"/>
              <w:bottom w:w="150" w:type="dxa"/>
              <w:right w:w="180" w:type="dxa"/>
            </w:tcMar>
            <w:vAlign w:val="center"/>
          </w:tcPr>
          <w:p w14:paraId="3950F4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1</w:t>
            </w:r>
          </w:p>
        </w:tc>
        <w:tc>
          <w:tcPr>
            <w:tcW w:w="2994" w:type="dxa"/>
            <w:tcBorders>
              <w:top w:val="nil"/>
              <w:left w:val="nil"/>
              <w:bottom w:val="single" w:color="F0F0F0" w:sz="6" w:space="0"/>
              <w:right w:val="nil"/>
            </w:tcBorders>
            <w:shd w:val="clear" w:color="auto" w:fill="FFFFFF"/>
            <w:tcMar>
              <w:top w:w="150" w:type="dxa"/>
              <w:bottom w:w="150" w:type="dxa"/>
              <w:right w:w="180" w:type="dxa"/>
            </w:tcMar>
            <w:vAlign w:val="center"/>
          </w:tcPr>
          <w:p w14:paraId="0CE33B5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井盖公称直径 (D) 或边长 (L)</w:t>
            </w:r>
          </w:p>
        </w:tc>
        <w:tc>
          <w:tcPr>
            <w:tcW w:w="556" w:type="dxa"/>
            <w:tcBorders>
              <w:top w:val="nil"/>
              <w:left w:val="nil"/>
              <w:bottom w:val="single" w:color="F0F0F0" w:sz="6" w:space="0"/>
              <w:right w:val="nil"/>
            </w:tcBorders>
            <w:shd w:val="clear" w:color="auto" w:fill="FFFFFF"/>
            <w:tcMar>
              <w:top w:w="150" w:type="dxa"/>
              <w:bottom w:w="150" w:type="dxa"/>
              <w:right w:w="180" w:type="dxa"/>
            </w:tcMar>
            <w:vAlign w:val="center"/>
          </w:tcPr>
          <w:p w14:paraId="24F98DC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mm</w:t>
            </w:r>
          </w:p>
        </w:tc>
        <w:tc>
          <w:tcPr>
            <w:tcW w:w="834" w:type="dxa"/>
            <w:tcBorders>
              <w:top w:val="nil"/>
              <w:left w:val="nil"/>
              <w:bottom w:val="single" w:color="F0F0F0" w:sz="6" w:space="0"/>
              <w:right w:val="nil"/>
            </w:tcBorders>
            <w:shd w:val="clear" w:color="auto" w:fill="FFFFFF"/>
            <w:tcMar>
              <w:top w:w="150" w:type="dxa"/>
              <w:bottom w:w="150" w:type="dxa"/>
              <w:right w:w="180" w:type="dxa"/>
            </w:tcMar>
            <w:vAlign w:val="center"/>
          </w:tcPr>
          <w:p w14:paraId="19177D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 3</w:t>
            </w:r>
          </w:p>
        </w:tc>
      </w:tr>
      <w:tr w14:paraId="760AA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36" w:hRule="atLeast"/>
        </w:trPr>
        <w:tc>
          <w:tcPr>
            <w:tcW w:w="673" w:type="dxa"/>
            <w:tcBorders>
              <w:top w:val="nil"/>
              <w:left w:val="nil"/>
              <w:bottom w:val="single" w:color="F0F0F0" w:sz="6" w:space="0"/>
              <w:right w:val="nil"/>
            </w:tcBorders>
            <w:shd w:val="clear" w:color="auto" w:fill="FFFFFF"/>
            <w:tcMar>
              <w:top w:w="150" w:type="dxa"/>
              <w:bottom w:w="150" w:type="dxa"/>
              <w:right w:w="180" w:type="dxa"/>
            </w:tcMar>
            <w:vAlign w:val="center"/>
          </w:tcPr>
          <w:p w14:paraId="13F1DBD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2</w:t>
            </w:r>
          </w:p>
        </w:tc>
        <w:tc>
          <w:tcPr>
            <w:tcW w:w="2994" w:type="dxa"/>
            <w:tcBorders>
              <w:top w:val="nil"/>
              <w:left w:val="nil"/>
              <w:bottom w:val="single" w:color="F0F0F0" w:sz="6" w:space="0"/>
              <w:right w:val="nil"/>
            </w:tcBorders>
            <w:shd w:val="clear" w:color="auto" w:fill="FFFFFF"/>
            <w:tcMar>
              <w:top w:w="150" w:type="dxa"/>
              <w:bottom w:w="150" w:type="dxa"/>
              <w:right w:w="180" w:type="dxa"/>
            </w:tcMar>
            <w:vAlign w:val="center"/>
          </w:tcPr>
          <w:p w14:paraId="64E572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井盖总厚度 (H)</w:t>
            </w:r>
          </w:p>
        </w:tc>
        <w:tc>
          <w:tcPr>
            <w:tcW w:w="556" w:type="dxa"/>
            <w:tcBorders>
              <w:top w:val="nil"/>
              <w:left w:val="nil"/>
              <w:bottom w:val="single" w:color="F0F0F0" w:sz="6" w:space="0"/>
              <w:right w:val="nil"/>
            </w:tcBorders>
            <w:shd w:val="clear" w:color="auto" w:fill="FFFFFF"/>
            <w:tcMar>
              <w:top w:w="150" w:type="dxa"/>
              <w:bottom w:w="150" w:type="dxa"/>
              <w:right w:w="180" w:type="dxa"/>
            </w:tcMar>
            <w:vAlign w:val="center"/>
          </w:tcPr>
          <w:p w14:paraId="5F6383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Fonts w:hint="eastAsia" w:ascii="仿宋" w:hAnsi="仿宋" w:eastAsia="仿宋" w:cs="仿宋"/>
                <w:i w:val="0"/>
                <w:iCs w:val="0"/>
                <w:caps w:val="0"/>
                <w:color w:val="000000"/>
                <w:spacing w:val="-2"/>
                <w:kern w:val="0"/>
                <w:sz w:val="21"/>
                <w:szCs w:val="21"/>
                <w:lang w:val="en-US" w:eastAsia="zh-CN" w:bidi="ar"/>
              </w:rPr>
              <w:t>mm</w:t>
            </w:r>
          </w:p>
        </w:tc>
        <w:tc>
          <w:tcPr>
            <w:tcW w:w="834" w:type="dxa"/>
            <w:tcBorders>
              <w:top w:val="nil"/>
              <w:left w:val="nil"/>
              <w:bottom w:val="single" w:color="F0F0F0" w:sz="6" w:space="0"/>
              <w:right w:val="nil"/>
            </w:tcBorders>
            <w:shd w:val="clear" w:color="auto" w:fill="FFFFFF"/>
            <w:tcMar>
              <w:top w:w="150" w:type="dxa"/>
              <w:bottom w:w="150" w:type="dxa"/>
              <w:right w:w="180" w:type="dxa"/>
            </w:tcMar>
            <w:vAlign w:val="center"/>
          </w:tcPr>
          <w:p w14:paraId="4876C0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000000"/>
                <w:spacing w:val="-2"/>
                <w:sz w:val="21"/>
                <w:szCs w:val="21"/>
              </w:rPr>
            </w:pPr>
            <w:r>
              <w:rPr>
                <w:rStyle w:val="7"/>
                <w:rFonts w:hint="eastAsia" w:ascii="仿宋" w:hAnsi="仿宋" w:eastAsia="仿宋" w:cs="仿宋"/>
                <w:b w:val="0"/>
                <w:bCs w:val="0"/>
                <w:i w:val="0"/>
                <w:iCs w:val="0"/>
                <w:caps w:val="0"/>
                <w:color w:val="000000"/>
                <w:spacing w:val="-2"/>
                <w:kern w:val="0"/>
                <w:sz w:val="21"/>
                <w:szCs w:val="21"/>
                <w:vertAlign w:val="baseline"/>
                <w:lang w:val="en-US" w:eastAsia="zh-CN" w:bidi="ar"/>
              </w:rPr>
              <w:t>+2, -1</w:t>
            </w:r>
          </w:p>
        </w:tc>
      </w:tr>
    </w:tbl>
    <w:p w14:paraId="3CA31CA6">
      <w:pPr>
        <w:numPr>
          <w:ilvl w:val="0"/>
          <w:numId w:val="1"/>
        </w:num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外观验收标准：</w:t>
      </w:r>
    </w:p>
    <w:p w14:paraId="2A191EF7">
      <w:pPr>
        <w:numPr>
          <w:ilvl w:val="0"/>
          <w:numId w:val="2"/>
        </w:numPr>
        <w:ind w:left="420" w:leftChars="0" w:firstLine="0" w:firstLineChars="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、外观质量表面光洁、平整，无影响使用性能的裂纹、冷隔、缩孔、夹渣等缺陷；防滑花纹清晰、均匀，无锐边尖角；涂层均匀、无剥落（如适用）。</w:t>
      </w:r>
    </w:p>
    <w:p w14:paraId="68F45852">
      <w:pPr>
        <w:numPr>
          <w:ilvl w:val="0"/>
          <w:numId w:val="2"/>
        </w:numPr>
        <w:ind w:left="420" w:leftChars="0" w:firstLine="0" w:firstLineChars="0"/>
        <w:rPr>
          <w:rFonts w:hint="default" w:ascii="仿宋" w:hAnsi="仿宋" w:eastAsia="仿宋"/>
          <w:b w:val="0"/>
          <w:bCs/>
          <w:sz w:val="21"/>
          <w:szCs w:val="21"/>
          <w:lang w:val="en-US" w:eastAsia="zh-CN"/>
        </w:rPr>
      </w:pPr>
      <w:r>
        <w:rPr>
          <w:rFonts w:hint="eastAsia" w:ascii="仿宋" w:hAnsi="仿宋" w:eastAsia="仿宋"/>
          <w:b w:val="0"/>
          <w:bCs/>
          <w:sz w:val="21"/>
          <w:szCs w:val="21"/>
          <w:lang w:val="en-US" w:eastAsia="zh-CN"/>
        </w:rPr>
        <w:t>、标识与包装：每套产品上必须清晰、永久地铸出以下信息：商标、生产年份、承载等级（如“重400”）、井盖用途、产地。</w:t>
      </w:r>
      <w:r>
        <w:rPr>
          <w:rFonts w:hint="default" w:ascii="仿宋" w:hAnsi="仿宋" w:eastAsia="仿宋"/>
          <w:b w:val="0"/>
          <w:bCs/>
          <w:sz w:val="21"/>
          <w:szCs w:val="21"/>
          <w:lang w:val="en-US" w:eastAsia="zh-CN"/>
        </w:rPr>
        <w:t>‌</w:t>
      </w:r>
    </w:p>
    <w:p w14:paraId="6C6C0CAD">
      <w:pPr>
        <w:ind w:firstLine="422" w:firstLineChars="200"/>
        <w:rPr>
          <w:rFonts w:hint="eastAsia" w:ascii="仿宋" w:hAnsi="仿宋" w:eastAsia="仿宋"/>
          <w:b/>
          <w:bCs w:val="0"/>
          <w:sz w:val="21"/>
          <w:szCs w:val="21"/>
          <w:lang w:val="en-US" w:eastAsia="zh-CN"/>
        </w:rPr>
      </w:pPr>
    </w:p>
    <w:p w14:paraId="3C2FB454">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采购清单：</w:t>
      </w:r>
    </w:p>
    <w:p w14:paraId="047BCFF9">
      <w:pPr>
        <w:ind w:firstLine="422" w:firstLineChars="200"/>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请查看附件</w:t>
      </w:r>
    </w:p>
    <w:p w14:paraId="2B31E150">
      <w:pPr>
        <w:rPr>
          <w:rFonts w:hint="default" w:ascii="仿宋" w:hAnsi="仿宋" w:eastAsia="仿宋"/>
          <w:b/>
          <w:bCs w:val="0"/>
          <w:sz w:val="21"/>
          <w:szCs w:val="21"/>
          <w:lang w:val="en-US" w:eastAsia="zh-CN"/>
        </w:rPr>
      </w:pPr>
      <w:r>
        <w:rPr>
          <w:rFonts w:hint="eastAsia" w:ascii="仿宋" w:hAnsi="仿宋" w:eastAsia="仿宋"/>
          <w:b/>
          <w:bCs w:val="0"/>
          <w:sz w:val="21"/>
          <w:szCs w:val="21"/>
          <w:lang w:val="en-US" w:eastAsia="zh-CN"/>
        </w:rPr>
        <w:t>注：最终采购的清单及数量以合同的工程量清单内容及甲方项目部施工过程中发出的下料单工程量为准。</w:t>
      </w:r>
    </w:p>
    <w:p w14:paraId="6B9BFC16">
      <w:pPr>
        <w:rPr>
          <w:rFonts w:hint="eastAsia" w:ascii="仿宋" w:hAnsi="仿宋" w:eastAsia="仿宋"/>
          <w:b/>
          <w:sz w:val="28"/>
          <w:szCs w:val="28"/>
        </w:rPr>
      </w:pPr>
      <w:r>
        <w:rPr>
          <w:rFonts w:hint="eastAsia" w:ascii="仿宋" w:hAnsi="仿宋" w:eastAsia="仿宋"/>
          <w:b/>
          <w:sz w:val="28"/>
          <w:szCs w:val="28"/>
        </w:rPr>
        <w:t>二、</w:t>
      </w:r>
      <w:r>
        <w:rPr>
          <w:rFonts w:hint="eastAsia" w:ascii="仿宋" w:hAnsi="仿宋" w:eastAsia="仿宋"/>
          <w:b/>
          <w:sz w:val="28"/>
          <w:szCs w:val="28"/>
          <w:lang w:val="en-US" w:eastAsia="zh-CN"/>
        </w:rPr>
        <w:t>供货</w:t>
      </w:r>
      <w:r>
        <w:rPr>
          <w:rFonts w:hint="eastAsia" w:ascii="仿宋" w:hAnsi="仿宋" w:eastAsia="仿宋"/>
          <w:b/>
          <w:sz w:val="28"/>
          <w:szCs w:val="28"/>
        </w:rPr>
        <w:t>要求</w:t>
      </w:r>
    </w:p>
    <w:p w14:paraId="18CE8FB2">
      <w:pPr>
        <w:ind w:firstLine="422" w:firstLineChars="200"/>
        <w:rPr>
          <w:rFonts w:hint="default" w:ascii="仿宋" w:hAnsi="仿宋" w:eastAsia="仿宋"/>
          <w:b w:val="0"/>
          <w:bCs/>
          <w:sz w:val="21"/>
          <w:szCs w:val="21"/>
          <w:lang w:val="en-US" w:eastAsia="zh-CN"/>
        </w:rPr>
      </w:pPr>
      <w:r>
        <w:rPr>
          <w:rFonts w:hint="eastAsia" w:ascii="仿宋" w:hAnsi="仿宋" w:eastAsia="仿宋"/>
          <w:b/>
          <w:bCs w:val="0"/>
          <w:sz w:val="21"/>
          <w:szCs w:val="21"/>
        </w:rPr>
        <w:t>供货期</w:t>
      </w:r>
      <w:r>
        <w:rPr>
          <w:rFonts w:hint="eastAsia" w:ascii="仿宋" w:hAnsi="仿宋" w:eastAsia="仿宋"/>
          <w:b/>
          <w:bCs w:val="0"/>
          <w:sz w:val="21"/>
          <w:szCs w:val="21"/>
          <w:lang w:eastAsia="zh-CN"/>
        </w:rPr>
        <w:t>：</w:t>
      </w:r>
      <w:r>
        <w:rPr>
          <w:rFonts w:hint="eastAsia" w:ascii="仿宋" w:hAnsi="仿宋" w:eastAsia="仿宋"/>
          <w:b w:val="0"/>
          <w:bCs/>
          <w:sz w:val="21"/>
          <w:szCs w:val="21"/>
          <w:lang w:val="en-US" w:eastAsia="zh-CN"/>
        </w:rPr>
        <w:t>所</w:t>
      </w:r>
      <w:r>
        <w:rPr>
          <w:rFonts w:hint="eastAsia" w:ascii="仿宋" w:hAnsi="仿宋" w:eastAsia="仿宋"/>
          <w:b w:val="0"/>
          <w:bCs/>
          <w:sz w:val="21"/>
          <w:szCs w:val="21"/>
          <w:lang w:val="en-US" w:eastAsia="zh-CN"/>
        </w:rPr>
        <w:t>有产品供货期为288个日历天，</w:t>
      </w:r>
      <w:r>
        <w:rPr>
          <w:rFonts w:hint="eastAsia" w:ascii="仿宋" w:hAnsi="仿宋" w:eastAsia="仿宋"/>
          <w:b w:val="0"/>
          <w:bCs/>
          <w:sz w:val="21"/>
          <w:szCs w:val="21"/>
        </w:rPr>
        <w:t>具体分批供应时间、规格及数量以</w:t>
      </w:r>
      <w:r>
        <w:rPr>
          <w:rFonts w:hint="eastAsia" w:ascii="仿宋" w:hAnsi="仿宋" w:eastAsia="仿宋"/>
          <w:b w:val="0"/>
          <w:bCs/>
          <w:sz w:val="21"/>
          <w:szCs w:val="21"/>
          <w:lang w:val="en-US" w:eastAsia="zh-CN"/>
        </w:rPr>
        <w:t>甲方项目部</w:t>
      </w:r>
      <w:r>
        <w:rPr>
          <w:rFonts w:hint="eastAsia" w:ascii="仿宋" w:hAnsi="仿宋" w:eastAsia="仿宋"/>
          <w:b w:val="0"/>
          <w:bCs/>
          <w:sz w:val="21"/>
          <w:szCs w:val="21"/>
        </w:rPr>
        <w:t>提前</w:t>
      </w:r>
      <w:r>
        <w:rPr>
          <w:rFonts w:hint="eastAsia" w:ascii="仿宋" w:hAnsi="仿宋" w:eastAsia="仿宋"/>
          <w:b w:val="0"/>
          <w:bCs/>
          <w:sz w:val="21"/>
          <w:szCs w:val="21"/>
          <w:lang w:val="en-US" w:eastAsia="zh-CN"/>
        </w:rPr>
        <w:t>5</w:t>
      </w:r>
      <w:r>
        <w:rPr>
          <w:rFonts w:hint="eastAsia" w:ascii="仿宋" w:hAnsi="仿宋" w:eastAsia="仿宋"/>
          <w:b w:val="0"/>
          <w:bCs/>
          <w:sz w:val="21"/>
          <w:szCs w:val="21"/>
        </w:rPr>
        <w:t>天发出的《</w:t>
      </w:r>
      <w:r>
        <w:rPr>
          <w:rFonts w:hint="eastAsia" w:ascii="仿宋" w:hAnsi="仿宋" w:eastAsia="仿宋"/>
          <w:b w:val="0"/>
          <w:bCs/>
          <w:sz w:val="21"/>
          <w:szCs w:val="21"/>
          <w:lang w:val="en-US" w:eastAsia="zh-CN"/>
        </w:rPr>
        <w:t>井盖材料下料</w:t>
      </w:r>
      <w:r>
        <w:rPr>
          <w:rFonts w:hint="eastAsia" w:ascii="仿宋" w:hAnsi="仿宋" w:eastAsia="仿宋"/>
          <w:b w:val="0"/>
          <w:bCs/>
          <w:sz w:val="21"/>
          <w:szCs w:val="21"/>
        </w:rPr>
        <w:t>通知单》为准。</w:t>
      </w:r>
    </w:p>
    <w:p w14:paraId="0DC06CD4">
      <w:pPr>
        <w:ind w:firstLine="422" w:firstLineChars="200"/>
        <w:rPr>
          <w:rFonts w:hint="default" w:ascii="仿宋" w:hAnsi="仿宋" w:eastAsia="仿宋"/>
          <w:b w:val="0"/>
          <w:bCs/>
          <w:sz w:val="21"/>
          <w:szCs w:val="21"/>
          <w:lang w:val="en-US" w:eastAsia="zh-CN"/>
        </w:rPr>
      </w:pPr>
      <w:r>
        <w:rPr>
          <w:rFonts w:hint="eastAsia" w:ascii="仿宋" w:hAnsi="仿宋" w:eastAsia="仿宋"/>
          <w:b/>
          <w:bCs w:val="0"/>
          <w:sz w:val="21"/>
          <w:szCs w:val="21"/>
          <w:lang w:val="en-US" w:eastAsia="zh-CN"/>
        </w:rPr>
        <w:t>供货地点：</w:t>
      </w:r>
      <w:r>
        <w:rPr>
          <w:rFonts w:hint="eastAsia" w:ascii="仿宋" w:hAnsi="仿宋" w:eastAsia="仿宋"/>
          <w:b w:val="0"/>
          <w:bCs/>
          <w:sz w:val="21"/>
          <w:szCs w:val="21"/>
          <w:lang w:val="en-US" w:eastAsia="zh-CN"/>
        </w:rPr>
        <w:t>石龙镇中山路历史文化街区及周边区域（具体供货地点以甲方项目部通知为准）</w:t>
      </w:r>
    </w:p>
    <w:p w14:paraId="60BA5DD2">
      <w:pPr>
        <w:ind w:firstLine="422" w:firstLineChars="200"/>
        <w:rPr>
          <w:rFonts w:hint="default" w:eastAsia="仿宋"/>
          <w:lang w:val="en-US" w:eastAsia="zh-CN"/>
        </w:rPr>
      </w:pPr>
      <w:r>
        <w:rPr>
          <w:rFonts w:hint="eastAsia" w:ascii="仿宋" w:hAnsi="仿宋" w:eastAsia="仿宋"/>
          <w:b/>
          <w:bCs w:val="0"/>
          <w:sz w:val="21"/>
          <w:szCs w:val="21"/>
        </w:rPr>
        <w:t>运输方式：</w:t>
      </w:r>
      <w:r>
        <w:rPr>
          <w:rFonts w:hint="default" w:ascii="仿宋" w:hAnsi="仿宋" w:eastAsia="仿宋"/>
          <w:b w:val="0"/>
          <w:bCs/>
          <w:sz w:val="21"/>
          <w:szCs w:val="21"/>
        </w:rPr>
        <w:t>由供方负责运输至指定地点，并承担全部运输费用和风险</w:t>
      </w:r>
      <w:r>
        <w:rPr>
          <w:rFonts w:hint="eastAsia" w:ascii="仿宋" w:hAnsi="仿宋" w:eastAsia="仿宋"/>
          <w:b w:val="0"/>
          <w:bCs/>
          <w:sz w:val="21"/>
          <w:szCs w:val="21"/>
          <w:lang w:eastAsia="zh-CN"/>
        </w:rPr>
        <w:t>；</w:t>
      </w:r>
      <w:r>
        <w:rPr>
          <w:rFonts w:hint="eastAsia" w:ascii="仿宋" w:hAnsi="仿宋" w:eastAsia="仿宋"/>
          <w:b w:val="0"/>
          <w:bCs/>
          <w:sz w:val="21"/>
          <w:szCs w:val="21"/>
          <w:lang w:val="en-US" w:eastAsia="zh-CN"/>
        </w:rPr>
        <w:t>包到达现场后卸货至甲方指定的材料摆放地点。</w:t>
      </w:r>
    </w:p>
    <w:p w14:paraId="7DD23967">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材料进场验收：</w:t>
      </w:r>
    </w:p>
    <w:p w14:paraId="79E38F3B">
      <w:pPr>
        <w:ind w:firstLine="420" w:firstLineChars="200"/>
      </w:pPr>
      <w:r>
        <w:rPr>
          <w:rFonts w:hint="eastAsia" w:ascii="仿宋" w:hAnsi="仿宋" w:eastAsia="仿宋"/>
          <w:b w:val="0"/>
          <w:bCs/>
          <w:sz w:val="21"/>
          <w:szCs w:val="21"/>
          <w:lang w:val="en-US" w:eastAsia="zh-CN"/>
        </w:rPr>
        <w:t>材料进场时准备好相关资料；需报甲方</w:t>
      </w:r>
      <w:bookmarkStart w:id="0" w:name="_GoBack"/>
      <w:bookmarkEnd w:id="0"/>
      <w:r>
        <w:rPr>
          <w:rFonts w:hint="eastAsia" w:ascii="仿宋" w:hAnsi="仿宋" w:eastAsia="仿宋"/>
          <w:b w:val="0"/>
          <w:bCs/>
          <w:sz w:val="21"/>
          <w:szCs w:val="21"/>
          <w:lang w:val="en-US" w:eastAsia="zh-CN"/>
        </w:rPr>
        <w:t>项目部进行验收；验收标准及要求以甲方项目部发出的下料单及合同采购清单的要求位置；若发现不合格的材料勒令乙方项目部立即将该批次材料进场退场；且由此产生的误工、工期延误等相关责任及费用全部由乙方单位承担（相应的违约金以合同相关条款为准）</w:t>
      </w:r>
    </w:p>
    <w:p w14:paraId="5C6CCB3B">
      <w:r>
        <w:rPr>
          <w:rFonts w:hint="eastAsia" w:ascii="仿宋" w:hAnsi="仿宋" w:eastAsia="仿宋"/>
          <w:b/>
          <w:sz w:val="28"/>
          <w:szCs w:val="28"/>
          <w:lang w:val="en-US" w:eastAsia="zh-CN"/>
        </w:rPr>
        <w:t>三</w:t>
      </w:r>
      <w:r>
        <w:rPr>
          <w:rFonts w:hint="eastAsia" w:ascii="仿宋" w:hAnsi="仿宋" w:eastAsia="仿宋"/>
          <w:b/>
          <w:sz w:val="28"/>
          <w:szCs w:val="28"/>
        </w:rPr>
        <w:t>、</w:t>
      </w:r>
      <w:r>
        <w:rPr>
          <w:rFonts w:hint="eastAsia" w:ascii="仿宋" w:hAnsi="仿宋" w:eastAsia="仿宋"/>
          <w:b/>
          <w:sz w:val="28"/>
          <w:szCs w:val="28"/>
          <w:lang w:val="en-US" w:eastAsia="zh-CN"/>
        </w:rPr>
        <w:t>验收</w:t>
      </w:r>
      <w:r>
        <w:rPr>
          <w:rFonts w:hint="eastAsia" w:ascii="仿宋" w:hAnsi="仿宋" w:eastAsia="仿宋"/>
          <w:b/>
          <w:sz w:val="28"/>
          <w:szCs w:val="28"/>
        </w:rPr>
        <w:t>与</w:t>
      </w:r>
      <w:r>
        <w:rPr>
          <w:rFonts w:hint="eastAsia" w:ascii="仿宋" w:hAnsi="仿宋" w:eastAsia="仿宋"/>
          <w:b/>
          <w:sz w:val="28"/>
          <w:szCs w:val="28"/>
          <w:lang w:val="en-US" w:eastAsia="zh-CN"/>
        </w:rPr>
        <w:t>责任</w:t>
      </w:r>
    </w:p>
    <w:p w14:paraId="061006E1">
      <w:pPr>
        <w:ind w:firstLine="422" w:firstLineChars="200"/>
        <w:rPr>
          <w:rFonts w:hint="eastAsia" w:ascii="仿宋" w:hAnsi="仿宋" w:eastAsia="仿宋"/>
          <w:b/>
          <w:bCs w:val="0"/>
          <w:sz w:val="21"/>
          <w:szCs w:val="21"/>
          <w:lang w:val="en-US" w:eastAsia="zh-CN"/>
        </w:rPr>
      </w:pPr>
      <w:r>
        <w:rPr>
          <w:rFonts w:hint="eastAsia" w:ascii="仿宋" w:hAnsi="仿宋" w:eastAsia="仿宋"/>
          <w:b/>
          <w:bCs w:val="0"/>
          <w:sz w:val="21"/>
          <w:szCs w:val="21"/>
          <w:lang w:val="en-US" w:eastAsia="zh-CN"/>
        </w:rPr>
        <w:t>进场时资料验收：</w:t>
      </w:r>
    </w:p>
    <w:p w14:paraId="5EC02ABF">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1.材质证明文件:生产厂家提供的合格证</w:t>
      </w:r>
      <w:r>
        <w:rPr>
          <w:rFonts w:hint="eastAsia" w:ascii="仿宋" w:hAnsi="仿宋" w:eastAsia="仿宋"/>
          <w:b w:val="0"/>
          <w:bCs/>
          <w:sz w:val="21"/>
          <w:szCs w:val="21"/>
          <w:lang w:val="en-US" w:eastAsia="zh-CN"/>
        </w:rPr>
        <w:t>或</w:t>
      </w:r>
      <w:r>
        <w:rPr>
          <w:rFonts w:hint="default" w:ascii="仿宋" w:hAnsi="仿宋" w:eastAsia="仿宋"/>
          <w:b w:val="0"/>
          <w:bCs/>
          <w:sz w:val="21"/>
          <w:szCs w:val="21"/>
          <w:lang w:val="en-US" w:eastAsia="zh-CN"/>
        </w:rPr>
        <w:t>材质证明书等，需注明材料名称、规格、生产批次及执行标准</w:t>
      </w:r>
    </w:p>
    <w:p w14:paraId="07FDC3F2">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2.检测报告:涵盖承载能力试验、力学性能、材质分析</w:t>
      </w:r>
      <w:r>
        <w:rPr>
          <w:rFonts w:hint="eastAsia" w:ascii="仿宋" w:hAnsi="仿宋" w:eastAsia="仿宋"/>
          <w:b w:val="0"/>
          <w:bCs/>
          <w:sz w:val="21"/>
          <w:szCs w:val="21"/>
          <w:lang w:val="en-US" w:eastAsia="zh-CN"/>
        </w:rPr>
        <w:t>、抗疲劳性能</w:t>
      </w:r>
      <w:r>
        <w:rPr>
          <w:rFonts w:hint="default" w:ascii="仿宋" w:hAnsi="仿宋" w:eastAsia="仿宋"/>
          <w:b w:val="0"/>
          <w:bCs/>
          <w:sz w:val="21"/>
          <w:szCs w:val="21"/>
          <w:lang w:val="en-US" w:eastAsia="zh-CN"/>
        </w:rPr>
        <w:t>等关键指标，”需由具备资质的检测机构出具</w:t>
      </w:r>
      <w:r>
        <w:rPr>
          <w:rFonts w:hint="eastAsia" w:ascii="仿宋" w:hAnsi="仿宋" w:eastAsia="仿宋"/>
          <w:b w:val="0"/>
          <w:bCs/>
          <w:sz w:val="21"/>
          <w:szCs w:val="21"/>
          <w:lang w:val="en-US" w:eastAsia="zh-CN"/>
        </w:rPr>
        <w:t>；且日期需在有效的证明日期之内。</w:t>
      </w:r>
    </w:p>
    <w:p w14:paraId="23E4C5AE">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3.产品合格证:证明材料符合国家或行业质量标准，需加盖生产单位公章。</w:t>
      </w:r>
    </w:p>
    <w:p w14:paraId="4851D0C1">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4</w:t>
      </w:r>
      <w:r>
        <w:rPr>
          <w:rFonts w:hint="eastAsia" w:ascii="仿宋" w:hAnsi="仿宋" w:eastAsia="仿宋"/>
          <w:b w:val="0"/>
          <w:bCs/>
          <w:sz w:val="21"/>
          <w:szCs w:val="21"/>
          <w:lang w:val="en-US" w:eastAsia="zh-CN"/>
        </w:rPr>
        <w:t>.</w:t>
      </w:r>
      <w:r>
        <w:rPr>
          <w:rFonts w:hint="default" w:ascii="仿宋" w:hAnsi="仿宋" w:eastAsia="仿宋"/>
          <w:b w:val="0"/>
          <w:bCs/>
          <w:sz w:val="21"/>
          <w:szCs w:val="21"/>
          <w:lang w:val="en-US" w:eastAsia="zh-CN"/>
        </w:rPr>
        <w:t>规格型号清单:列明</w:t>
      </w:r>
      <w:r>
        <w:rPr>
          <w:rFonts w:hint="eastAsia" w:ascii="仿宋" w:hAnsi="仿宋" w:eastAsia="仿宋"/>
          <w:b w:val="0"/>
          <w:bCs/>
          <w:sz w:val="21"/>
          <w:szCs w:val="21"/>
          <w:lang w:val="en-US" w:eastAsia="zh-CN"/>
        </w:rPr>
        <w:t>井盖</w:t>
      </w:r>
      <w:r>
        <w:rPr>
          <w:rFonts w:hint="default" w:ascii="仿宋" w:hAnsi="仿宋" w:eastAsia="仿宋"/>
          <w:b w:val="0"/>
          <w:bCs/>
          <w:sz w:val="21"/>
          <w:szCs w:val="21"/>
          <w:lang w:val="en-US" w:eastAsia="zh-CN"/>
        </w:rPr>
        <w:t>的型号、</w:t>
      </w:r>
      <w:r>
        <w:rPr>
          <w:rFonts w:hint="eastAsia" w:ascii="仿宋" w:hAnsi="仿宋" w:eastAsia="仿宋"/>
          <w:b w:val="0"/>
          <w:bCs/>
          <w:sz w:val="21"/>
          <w:szCs w:val="21"/>
          <w:lang w:val="en-US" w:eastAsia="zh-CN"/>
        </w:rPr>
        <w:t>厚度</w:t>
      </w: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尺寸</w:t>
      </w:r>
      <w:r>
        <w:rPr>
          <w:rFonts w:hint="default" w:ascii="仿宋" w:hAnsi="仿宋" w:eastAsia="仿宋"/>
          <w:b w:val="0"/>
          <w:bCs/>
          <w:sz w:val="21"/>
          <w:szCs w:val="21"/>
          <w:lang w:val="en-US" w:eastAsia="zh-CN"/>
        </w:rPr>
        <w:t>等参数，确保与设计要求一致。</w:t>
      </w:r>
    </w:p>
    <w:p w14:paraId="4B6038EA">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5.物资验收清单：</w:t>
      </w:r>
      <w:r>
        <w:rPr>
          <w:rFonts w:hint="default" w:ascii="仿宋" w:hAnsi="仿宋" w:eastAsia="仿宋"/>
          <w:b w:val="0"/>
          <w:bCs/>
          <w:sz w:val="21"/>
          <w:szCs w:val="21"/>
          <w:lang w:val="en-US" w:eastAsia="zh-CN"/>
        </w:rPr>
        <w:t>列明</w:t>
      </w:r>
      <w:r>
        <w:rPr>
          <w:rFonts w:hint="eastAsia" w:ascii="仿宋" w:hAnsi="仿宋" w:eastAsia="仿宋"/>
          <w:b w:val="0"/>
          <w:bCs/>
          <w:sz w:val="21"/>
          <w:szCs w:val="21"/>
          <w:lang w:val="en-US" w:eastAsia="zh-CN"/>
        </w:rPr>
        <w:t>本批次到场的所有井盖</w:t>
      </w:r>
      <w:r>
        <w:rPr>
          <w:rFonts w:hint="default" w:ascii="仿宋" w:hAnsi="仿宋" w:eastAsia="仿宋"/>
          <w:b w:val="0"/>
          <w:bCs/>
          <w:sz w:val="21"/>
          <w:szCs w:val="21"/>
          <w:lang w:val="en-US" w:eastAsia="zh-CN"/>
        </w:rPr>
        <w:t>的型号、</w:t>
      </w:r>
      <w:r>
        <w:rPr>
          <w:rFonts w:hint="eastAsia" w:ascii="仿宋" w:hAnsi="仿宋" w:eastAsia="仿宋"/>
          <w:b w:val="0"/>
          <w:bCs/>
          <w:sz w:val="21"/>
          <w:szCs w:val="21"/>
          <w:lang w:val="en-US" w:eastAsia="zh-CN"/>
        </w:rPr>
        <w:t>厚度</w:t>
      </w:r>
      <w:r>
        <w:rPr>
          <w:rFonts w:hint="default" w:ascii="仿宋" w:hAnsi="仿宋" w:eastAsia="仿宋"/>
          <w:b w:val="0"/>
          <w:bCs/>
          <w:sz w:val="21"/>
          <w:szCs w:val="21"/>
          <w:lang w:val="en-US" w:eastAsia="zh-CN"/>
        </w:rPr>
        <w:t>、</w:t>
      </w:r>
      <w:r>
        <w:rPr>
          <w:rFonts w:hint="eastAsia" w:ascii="仿宋" w:hAnsi="仿宋" w:eastAsia="仿宋"/>
          <w:b w:val="0"/>
          <w:bCs/>
          <w:sz w:val="21"/>
          <w:szCs w:val="21"/>
          <w:lang w:val="en-US" w:eastAsia="zh-CN"/>
        </w:rPr>
        <w:t>尺寸、数量。</w:t>
      </w:r>
    </w:p>
    <w:p w14:paraId="7EB0A54E">
      <w:pPr>
        <w:ind w:firstLine="422" w:firstLineChars="200"/>
        <w:rPr>
          <w:rFonts w:hint="eastAsia" w:ascii="仿宋" w:hAnsi="仿宋" w:eastAsia="仿宋"/>
          <w:b/>
          <w:sz w:val="28"/>
          <w:szCs w:val="28"/>
          <w:lang w:val="en-US" w:eastAsia="zh-CN"/>
        </w:rPr>
      </w:pPr>
      <w:r>
        <w:rPr>
          <w:rFonts w:hint="default" w:ascii="仿宋" w:hAnsi="仿宋" w:eastAsia="仿宋"/>
          <w:b/>
          <w:bCs w:val="0"/>
          <w:sz w:val="21"/>
          <w:szCs w:val="21"/>
          <w:lang w:val="en-US" w:eastAsia="zh-CN"/>
        </w:rPr>
        <w:t>抽检复试：</w:t>
      </w:r>
      <w:r>
        <w:rPr>
          <w:rFonts w:hint="default" w:ascii="仿宋" w:hAnsi="仿宋" w:eastAsia="仿宋"/>
          <w:b w:val="0"/>
          <w:bCs/>
          <w:sz w:val="21"/>
          <w:szCs w:val="21"/>
          <w:lang w:val="en-US" w:eastAsia="zh-CN"/>
        </w:rPr>
        <w:t> </w:t>
      </w:r>
      <w:r>
        <w:rPr>
          <w:rFonts w:hint="eastAsia" w:ascii="仿宋" w:hAnsi="仿宋" w:eastAsia="仿宋"/>
          <w:b w:val="0"/>
          <w:bCs/>
          <w:sz w:val="21"/>
          <w:szCs w:val="21"/>
          <w:lang w:val="en-US" w:eastAsia="zh-CN"/>
        </w:rPr>
        <w:t>所有下单的材料乙方需无条件配合按照甲方项目部的要求提供特定数量、特点型号规格的材料以进行第三方机构进行原材料检测；若第一次检测结果不合格；要求乙方将对应的该批次材料进行退场并重新提供符合要求的材料进场；且复检的费用由乙方承担；直至检测通过可以出具合格的原材料检测报告为止（第三方检测单位由业主方指定）。</w:t>
      </w:r>
    </w:p>
    <w:p w14:paraId="00D67CA4">
      <w:r>
        <w:rPr>
          <w:rFonts w:hint="eastAsia" w:ascii="仿宋" w:hAnsi="仿宋" w:eastAsia="仿宋"/>
          <w:b/>
          <w:sz w:val="28"/>
          <w:szCs w:val="28"/>
          <w:lang w:val="en-US" w:eastAsia="zh-CN"/>
        </w:rPr>
        <w:t>四</w:t>
      </w:r>
      <w:r>
        <w:rPr>
          <w:rFonts w:ascii="仿宋" w:hAnsi="仿宋" w:eastAsia="仿宋"/>
          <w:b/>
          <w:sz w:val="28"/>
          <w:szCs w:val="28"/>
        </w:rPr>
        <w:t>、</w:t>
      </w:r>
      <w:r>
        <w:rPr>
          <w:rFonts w:hint="eastAsia" w:ascii="仿宋" w:hAnsi="仿宋" w:eastAsia="仿宋"/>
          <w:b/>
          <w:sz w:val="28"/>
          <w:szCs w:val="28"/>
          <w:lang w:val="en-US" w:eastAsia="zh-CN"/>
        </w:rPr>
        <w:t>违约责任</w:t>
      </w:r>
    </w:p>
    <w:p w14:paraId="7070A823">
      <w:pPr>
        <w:ind w:firstLine="422" w:firstLineChars="200"/>
        <w:rPr>
          <w:rFonts w:hint="default" w:ascii="仿宋" w:hAnsi="仿宋" w:eastAsia="仿宋"/>
          <w:b w:val="0"/>
          <w:bCs/>
          <w:sz w:val="21"/>
          <w:szCs w:val="21"/>
        </w:rPr>
      </w:pPr>
      <w:r>
        <w:rPr>
          <w:rFonts w:hint="default" w:ascii="仿宋" w:hAnsi="仿宋" w:eastAsia="仿宋"/>
          <w:b/>
          <w:bCs w:val="0"/>
          <w:sz w:val="21"/>
          <w:szCs w:val="21"/>
        </w:rPr>
        <w:t>延迟交货：</w:t>
      </w:r>
      <w:r>
        <w:rPr>
          <w:rFonts w:hint="default" w:ascii="仿宋" w:hAnsi="仿宋" w:eastAsia="仿宋"/>
          <w:b w:val="0"/>
          <w:bCs/>
          <w:sz w:val="21"/>
          <w:szCs w:val="21"/>
        </w:rPr>
        <w:t> 因供方原因未能按《</w:t>
      </w:r>
      <w:r>
        <w:rPr>
          <w:rFonts w:hint="eastAsia" w:ascii="仿宋" w:hAnsi="仿宋" w:eastAsia="仿宋"/>
          <w:b w:val="0"/>
          <w:bCs/>
          <w:sz w:val="21"/>
          <w:szCs w:val="21"/>
          <w:lang w:val="en-US" w:eastAsia="zh-CN"/>
        </w:rPr>
        <w:t>下料</w:t>
      </w:r>
      <w:r>
        <w:rPr>
          <w:rFonts w:hint="default" w:ascii="仿宋" w:hAnsi="仿宋" w:eastAsia="仿宋"/>
          <w:b w:val="0"/>
          <w:bCs/>
          <w:sz w:val="21"/>
          <w:szCs w:val="21"/>
        </w:rPr>
        <w:t>通知单》要求时间到货，每延迟</w:t>
      </w:r>
      <w:r>
        <w:rPr>
          <w:rFonts w:hint="eastAsia" w:ascii="仿宋" w:hAnsi="仿宋" w:eastAsia="仿宋"/>
          <w:b w:val="0"/>
          <w:bCs/>
          <w:sz w:val="21"/>
          <w:szCs w:val="21"/>
          <w:lang w:val="en-US" w:eastAsia="zh-CN"/>
        </w:rPr>
        <w:t>1</w:t>
      </w:r>
      <w:r>
        <w:rPr>
          <w:rFonts w:hint="default" w:ascii="仿宋" w:hAnsi="仿宋" w:eastAsia="仿宋"/>
          <w:b w:val="0"/>
          <w:bCs/>
          <w:sz w:val="21"/>
          <w:szCs w:val="21"/>
        </w:rPr>
        <w:t>天，供方需支付该批货款</w:t>
      </w:r>
      <w:r>
        <w:rPr>
          <w:rFonts w:hint="eastAsia" w:ascii="仿宋" w:hAnsi="仿宋" w:eastAsia="仿宋"/>
          <w:b w:val="0"/>
          <w:bCs/>
          <w:sz w:val="21"/>
          <w:szCs w:val="21"/>
          <w:lang w:val="en-US" w:eastAsia="zh-CN"/>
        </w:rPr>
        <w:t>0.3%</w:t>
      </w:r>
      <w:r>
        <w:rPr>
          <w:rFonts w:hint="default" w:ascii="仿宋" w:hAnsi="仿宋" w:eastAsia="仿宋"/>
          <w:b w:val="0"/>
          <w:bCs/>
          <w:sz w:val="21"/>
          <w:szCs w:val="21"/>
        </w:rPr>
        <w:t>的违约金。</w:t>
      </w:r>
    </w:p>
    <w:p w14:paraId="128730C0">
      <w:pPr>
        <w:ind w:firstLine="422" w:firstLineChars="200"/>
        <w:rPr>
          <w:rFonts w:hint="default" w:ascii="仿宋" w:hAnsi="仿宋" w:eastAsia="仿宋"/>
          <w:b w:val="0"/>
          <w:bCs/>
          <w:sz w:val="21"/>
          <w:szCs w:val="21"/>
        </w:rPr>
      </w:pPr>
      <w:r>
        <w:rPr>
          <w:rFonts w:hint="default" w:ascii="仿宋" w:hAnsi="仿宋" w:eastAsia="仿宋"/>
          <w:b/>
          <w:bCs w:val="0"/>
          <w:sz w:val="21"/>
          <w:szCs w:val="21"/>
        </w:rPr>
        <w:t>质量违约： </w:t>
      </w:r>
      <w:r>
        <w:rPr>
          <w:rFonts w:hint="default" w:ascii="仿宋" w:hAnsi="仿宋" w:eastAsia="仿宋"/>
          <w:b w:val="0"/>
          <w:bCs/>
          <w:sz w:val="21"/>
          <w:szCs w:val="21"/>
        </w:rPr>
        <w:t>提供不合格产品或材质单与实物不符，除退货外，供方需支付该批货物总价20%的违约金。</w:t>
      </w:r>
    </w:p>
    <w:p w14:paraId="69474E43">
      <w:pPr>
        <w:ind w:firstLine="422" w:firstLineChars="200"/>
        <w:rPr>
          <w:rFonts w:hint="default" w:ascii="仿宋" w:hAnsi="仿宋" w:eastAsia="仿宋"/>
          <w:b w:val="0"/>
          <w:bCs/>
          <w:sz w:val="21"/>
          <w:szCs w:val="21"/>
        </w:rPr>
      </w:pPr>
      <w:r>
        <w:rPr>
          <w:rFonts w:hint="default" w:ascii="仿宋" w:hAnsi="仿宋" w:eastAsia="仿宋"/>
          <w:b/>
          <w:bCs w:val="0"/>
          <w:sz w:val="21"/>
          <w:szCs w:val="21"/>
        </w:rPr>
        <w:t>数量违约： </w:t>
      </w:r>
      <w:r>
        <w:rPr>
          <w:rFonts w:hint="default" w:ascii="仿宋" w:hAnsi="仿宋" w:eastAsia="仿宋"/>
          <w:b w:val="0"/>
          <w:bCs/>
          <w:sz w:val="21"/>
          <w:szCs w:val="21"/>
        </w:rPr>
        <w:t>如发现数量短缺</w:t>
      </w:r>
      <w:r>
        <w:rPr>
          <w:rFonts w:hint="eastAsia" w:ascii="仿宋" w:hAnsi="仿宋" w:eastAsia="仿宋"/>
          <w:b w:val="0"/>
          <w:bCs/>
          <w:sz w:val="21"/>
          <w:szCs w:val="21"/>
          <w:lang w:eastAsia="zh-CN"/>
        </w:rPr>
        <w:t>（</w:t>
      </w:r>
      <w:r>
        <w:rPr>
          <w:rFonts w:hint="eastAsia" w:ascii="仿宋" w:hAnsi="仿宋" w:eastAsia="仿宋"/>
          <w:b w:val="0"/>
          <w:bCs/>
          <w:sz w:val="21"/>
          <w:szCs w:val="21"/>
          <w:lang w:val="en-US" w:eastAsia="zh-CN"/>
        </w:rPr>
        <w:t>与进场乙方提供的送货单数量对比）</w:t>
      </w:r>
      <w:r>
        <w:rPr>
          <w:rFonts w:hint="default" w:ascii="仿宋" w:hAnsi="仿宋" w:eastAsia="仿宋"/>
          <w:b w:val="0"/>
          <w:bCs/>
          <w:sz w:val="21"/>
          <w:szCs w:val="21"/>
        </w:rPr>
        <w:t>，按短缺部分的</w:t>
      </w:r>
      <w:r>
        <w:rPr>
          <w:rFonts w:hint="eastAsia" w:ascii="仿宋" w:hAnsi="仿宋" w:eastAsia="仿宋"/>
          <w:b w:val="0"/>
          <w:bCs/>
          <w:sz w:val="21"/>
          <w:szCs w:val="21"/>
          <w:lang w:val="en-US" w:eastAsia="zh-CN"/>
        </w:rPr>
        <w:t>5</w:t>
      </w:r>
      <w:r>
        <w:rPr>
          <w:rFonts w:hint="default" w:ascii="仿宋" w:hAnsi="仿宋" w:eastAsia="仿宋"/>
          <w:b w:val="0"/>
          <w:bCs/>
          <w:sz w:val="21"/>
          <w:szCs w:val="21"/>
        </w:rPr>
        <w:t>倍扣除货款。</w:t>
      </w:r>
    </w:p>
    <w:p w14:paraId="46A9E5A1">
      <w:r>
        <w:rPr>
          <w:rFonts w:hint="eastAsia" w:ascii="仿宋" w:hAnsi="仿宋" w:eastAsia="仿宋"/>
          <w:b/>
          <w:sz w:val="28"/>
          <w:szCs w:val="28"/>
          <w:lang w:val="en-US" w:eastAsia="zh-CN"/>
        </w:rPr>
        <w:t>五</w:t>
      </w:r>
      <w:r>
        <w:rPr>
          <w:rFonts w:ascii="仿宋" w:hAnsi="仿宋" w:eastAsia="仿宋"/>
          <w:b/>
          <w:sz w:val="28"/>
          <w:szCs w:val="28"/>
        </w:rPr>
        <w:t>、</w:t>
      </w:r>
      <w:r>
        <w:rPr>
          <w:rFonts w:hint="eastAsia" w:ascii="仿宋" w:hAnsi="仿宋" w:eastAsia="仿宋"/>
          <w:b/>
          <w:sz w:val="28"/>
          <w:szCs w:val="28"/>
          <w:lang w:val="en-US" w:eastAsia="zh-CN"/>
        </w:rPr>
        <w:t>报价与计量方式</w:t>
      </w:r>
    </w:p>
    <w:p w14:paraId="7CD1437C">
      <w:pPr>
        <w:ind w:firstLine="422" w:firstLineChars="200"/>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报价要求：</w:t>
      </w:r>
    </w:p>
    <w:p w14:paraId="2BF568AD">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请按不同规格型号</w:t>
      </w:r>
      <w:r>
        <w:rPr>
          <w:rFonts w:hint="eastAsia" w:ascii="仿宋" w:hAnsi="仿宋" w:eastAsia="仿宋"/>
          <w:b w:val="0"/>
          <w:bCs/>
          <w:sz w:val="21"/>
          <w:szCs w:val="21"/>
          <w:lang w:val="en-US" w:eastAsia="zh-CN"/>
        </w:rPr>
        <w:t>及对应的计量单位</w:t>
      </w:r>
      <w:r>
        <w:rPr>
          <w:rFonts w:hint="default" w:ascii="仿宋" w:hAnsi="仿宋" w:eastAsia="仿宋"/>
          <w:b w:val="0"/>
          <w:bCs/>
          <w:sz w:val="21"/>
          <w:szCs w:val="21"/>
          <w:lang w:val="en-US" w:eastAsia="zh-CN"/>
        </w:rPr>
        <w:t>报出单价</w:t>
      </w:r>
    </w:p>
    <w:p w14:paraId="2CE2FC81">
      <w:pPr>
        <w:ind w:firstLine="420" w:firstLineChars="200"/>
        <w:rPr>
          <w:rFonts w:hint="default" w:ascii="仿宋" w:hAnsi="仿宋" w:eastAsia="仿宋"/>
          <w:b w:val="0"/>
          <w:bCs/>
          <w:sz w:val="21"/>
          <w:szCs w:val="21"/>
          <w:lang w:val="en-US" w:eastAsia="zh-CN"/>
        </w:rPr>
      </w:pPr>
      <w:r>
        <w:rPr>
          <w:rFonts w:hint="default" w:ascii="仿宋" w:hAnsi="仿宋" w:eastAsia="仿宋"/>
          <w:b w:val="0"/>
          <w:bCs/>
          <w:sz w:val="21"/>
          <w:szCs w:val="21"/>
          <w:lang w:val="en-US" w:eastAsia="zh-CN"/>
        </w:rPr>
        <w:t>报价应为含税、运至我方工地指定地点落地价（卸车费用由</w:t>
      </w:r>
      <w:r>
        <w:rPr>
          <w:rFonts w:hint="eastAsia" w:ascii="仿宋" w:hAnsi="仿宋" w:eastAsia="仿宋"/>
          <w:b w:val="0"/>
          <w:bCs/>
          <w:sz w:val="21"/>
          <w:szCs w:val="21"/>
          <w:lang w:val="en-US" w:eastAsia="zh-CN"/>
        </w:rPr>
        <w:t>乙</w:t>
      </w:r>
      <w:r>
        <w:rPr>
          <w:rFonts w:hint="default" w:ascii="仿宋" w:hAnsi="仿宋" w:eastAsia="仿宋"/>
          <w:b w:val="0"/>
          <w:bCs/>
          <w:sz w:val="21"/>
          <w:szCs w:val="21"/>
          <w:lang w:val="en-US" w:eastAsia="zh-CN"/>
        </w:rPr>
        <w:t>方承担）。</w:t>
      </w:r>
    </w:p>
    <w:p w14:paraId="08B8C38A">
      <w:pPr>
        <w:ind w:firstLine="422" w:firstLineChars="200"/>
        <w:rPr>
          <w:rFonts w:hint="default" w:ascii="仿宋" w:hAnsi="仿宋" w:eastAsia="仿宋"/>
          <w:b/>
          <w:bCs w:val="0"/>
          <w:sz w:val="21"/>
          <w:szCs w:val="21"/>
          <w:lang w:val="en-US" w:eastAsia="zh-CN"/>
        </w:rPr>
      </w:pPr>
      <w:r>
        <w:rPr>
          <w:rFonts w:hint="default" w:ascii="仿宋" w:hAnsi="仿宋" w:eastAsia="仿宋"/>
          <w:b/>
          <w:bCs w:val="0"/>
          <w:sz w:val="21"/>
          <w:szCs w:val="21"/>
          <w:lang w:val="en-US" w:eastAsia="zh-CN"/>
        </w:rPr>
        <w:t>计量方式：</w:t>
      </w:r>
    </w:p>
    <w:p w14:paraId="0D7C9ABA">
      <w:pPr>
        <w:ind w:firstLine="420" w:firstLineChars="200"/>
        <w:rPr>
          <w:rFonts w:hint="eastAsia" w:ascii="仿宋" w:hAnsi="仿宋" w:eastAsia="仿宋"/>
          <w:b w:val="0"/>
          <w:bCs/>
          <w:sz w:val="21"/>
          <w:szCs w:val="21"/>
          <w:lang w:val="en-US" w:eastAsia="zh-CN"/>
        </w:rPr>
      </w:pPr>
      <w:r>
        <w:rPr>
          <w:rFonts w:hint="eastAsia" w:ascii="仿宋" w:hAnsi="仿宋" w:eastAsia="仿宋"/>
          <w:b w:val="0"/>
          <w:bCs/>
          <w:sz w:val="21"/>
          <w:szCs w:val="21"/>
          <w:lang w:val="en-US" w:eastAsia="zh-CN"/>
        </w:rPr>
        <w:t>以现场每批次实际到货；且双</w:t>
      </w:r>
      <w:r>
        <w:rPr>
          <w:rFonts w:hint="default" w:ascii="仿宋" w:hAnsi="仿宋" w:eastAsia="仿宋"/>
          <w:b w:val="0"/>
          <w:bCs/>
          <w:sz w:val="21"/>
          <w:szCs w:val="21"/>
          <w:lang w:val="en-US" w:eastAsia="zh-CN"/>
        </w:rPr>
        <w:t>方</w:t>
      </w:r>
      <w:r>
        <w:rPr>
          <w:rFonts w:hint="eastAsia" w:ascii="仿宋" w:hAnsi="仿宋" w:eastAsia="仿宋"/>
          <w:b w:val="0"/>
          <w:bCs/>
          <w:sz w:val="21"/>
          <w:szCs w:val="21"/>
          <w:lang w:val="en-US" w:eastAsia="zh-CN"/>
        </w:rPr>
        <w:t>现场共同确认、清点的数量为准。</w:t>
      </w:r>
    </w:p>
    <w:p w14:paraId="297939AB">
      <w:pPr>
        <w:ind w:firstLine="422" w:firstLineChars="200"/>
        <w:rPr>
          <w:rFonts w:hint="default" w:ascii="仿宋" w:hAnsi="仿宋" w:eastAsia="仿宋"/>
          <w:b/>
          <w:bCs w:val="0"/>
          <w:sz w:val="21"/>
          <w:szCs w:val="21"/>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FF001"/>
    <w:multiLevelType w:val="singleLevel"/>
    <w:tmpl w:val="EEBFF001"/>
    <w:lvl w:ilvl="0" w:tentative="0">
      <w:start w:val="2"/>
      <w:numFmt w:val="decimal"/>
      <w:lvlText w:val="%1."/>
      <w:lvlJc w:val="left"/>
      <w:pPr>
        <w:tabs>
          <w:tab w:val="left" w:pos="312"/>
        </w:tabs>
      </w:pPr>
    </w:lvl>
  </w:abstractNum>
  <w:abstractNum w:abstractNumId="1">
    <w:nsid w:val="2F017E63"/>
    <w:multiLevelType w:val="singleLevel"/>
    <w:tmpl w:val="2F017E63"/>
    <w:lvl w:ilvl="0" w:tentative="0">
      <w:start w:val="1"/>
      <w:numFmt w:val="decimal"/>
      <w:suff w:val="nothing"/>
      <w:lvlText w:val="%1）"/>
      <w:lvlJc w:val="left"/>
      <w:pPr>
        <w:ind w:left="42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323AB"/>
    <w:rsid w:val="00066A99"/>
    <w:rsid w:val="00185134"/>
    <w:rsid w:val="001F2A1C"/>
    <w:rsid w:val="00235C18"/>
    <w:rsid w:val="004F170C"/>
    <w:rsid w:val="006C762D"/>
    <w:rsid w:val="00852BD2"/>
    <w:rsid w:val="009D2AC5"/>
    <w:rsid w:val="00A31730"/>
    <w:rsid w:val="00AA7C5B"/>
    <w:rsid w:val="00BB52D1"/>
    <w:rsid w:val="00D3242E"/>
    <w:rsid w:val="00D41D5B"/>
    <w:rsid w:val="00DF1C21"/>
    <w:rsid w:val="00E67EAE"/>
    <w:rsid w:val="00EC4B0F"/>
    <w:rsid w:val="00F77B37"/>
    <w:rsid w:val="023B6BC5"/>
    <w:rsid w:val="02EE726A"/>
    <w:rsid w:val="0341645D"/>
    <w:rsid w:val="046B5540"/>
    <w:rsid w:val="052B011A"/>
    <w:rsid w:val="090B72F2"/>
    <w:rsid w:val="0A5D3B7D"/>
    <w:rsid w:val="0ADB2E67"/>
    <w:rsid w:val="0D7F3E0A"/>
    <w:rsid w:val="101A6B79"/>
    <w:rsid w:val="1164141F"/>
    <w:rsid w:val="11C91AF8"/>
    <w:rsid w:val="14F43330"/>
    <w:rsid w:val="17854713"/>
    <w:rsid w:val="1800023D"/>
    <w:rsid w:val="18EE0096"/>
    <w:rsid w:val="190E6CFF"/>
    <w:rsid w:val="199724DC"/>
    <w:rsid w:val="19B1359D"/>
    <w:rsid w:val="19F77371"/>
    <w:rsid w:val="1AF70FC3"/>
    <w:rsid w:val="1B291859"/>
    <w:rsid w:val="1EFF4DAB"/>
    <w:rsid w:val="20344F28"/>
    <w:rsid w:val="20FB5A46"/>
    <w:rsid w:val="229972C4"/>
    <w:rsid w:val="23841D23"/>
    <w:rsid w:val="270F3FF9"/>
    <w:rsid w:val="273220C6"/>
    <w:rsid w:val="27800A53"/>
    <w:rsid w:val="2F805903"/>
    <w:rsid w:val="306C426A"/>
    <w:rsid w:val="30AE4883"/>
    <w:rsid w:val="31A81E84"/>
    <w:rsid w:val="337E0671"/>
    <w:rsid w:val="35E0728C"/>
    <w:rsid w:val="38037262"/>
    <w:rsid w:val="3AFC155E"/>
    <w:rsid w:val="3C157564"/>
    <w:rsid w:val="3C8F764F"/>
    <w:rsid w:val="3DF411F3"/>
    <w:rsid w:val="3FDF2363"/>
    <w:rsid w:val="432F53AF"/>
    <w:rsid w:val="46845A12"/>
    <w:rsid w:val="477535AD"/>
    <w:rsid w:val="4AA448D5"/>
    <w:rsid w:val="4D69567B"/>
    <w:rsid w:val="502A762A"/>
    <w:rsid w:val="51DA5080"/>
    <w:rsid w:val="52803F1E"/>
    <w:rsid w:val="552503C0"/>
    <w:rsid w:val="555869E7"/>
    <w:rsid w:val="57C2639A"/>
    <w:rsid w:val="581A4428"/>
    <w:rsid w:val="5BFD3E45"/>
    <w:rsid w:val="5D331AE8"/>
    <w:rsid w:val="5E2C6C63"/>
    <w:rsid w:val="60544F78"/>
    <w:rsid w:val="64D23995"/>
    <w:rsid w:val="693E5A9D"/>
    <w:rsid w:val="6B2018FE"/>
    <w:rsid w:val="6CB95B66"/>
    <w:rsid w:val="6E4C519F"/>
    <w:rsid w:val="6F217210"/>
    <w:rsid w:val="71687B5B"/>
    <w:rsid w:val="71C64881"/>
    <w:rsid w:val="73B057E9"/>
    <w:rsid w:val="7452064E"/>
    <w:rsid w:val="761C7166"/>
    <w:rsid w:val="78CF6711"/>
    <w:rsid w:val="79BF6786"/>
    <w:rsid w:val="7B975BAE"/>
    <w:rsid w:val="7BA73B88"/>
    <w:rsid w:val="7CBE2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9"/>
    <w:pPr>
      <w:keepNext/>
      <w:keepLines/>
      <w:spacing w:before="260" w:after="260" w:line="416" w:lineRule="auto"/>
      <w:outlineLvl w:val="2"/>
    </w:pPr>
    <w:rPr>
      <w:b/>
      <w:bCs/>
      <w:sz w:val="32"/>
      <w:szCs w:val="32"/>
    </w:rPr>
  </w:style>
  <w:style w:type="paragraph" w:styleId="3">
    <w:name w:val="heading 4"/>
    <w:basedOn w:val="1"/>
    <w:link w:val="9"/>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styleId="8">
    <w:name w:val="List Paragraph"/>
    <w:basedOn w:val="1"/>
    <w:qFormat/>
    <w:uiPriority w:val="34"/>
    <w:pPr>
      <w:ind w:firstLine="420" w:firstLineChars="200"/>
    </w:pPr>
  </w:style>
  <w:style w:type="character" w:customStyle="1" w:styleId="9">
    <w:name w:val="标题 4 Char"/>
    <w:basedOn w:val="6"/>
    <w:link w:val="3"/>
    <w:qFormat/>
    <w:uiPriority w:val="9"/>
    <w:rPr>
      <w:rFonts w:ascii="宋体" w:hAnsi="宋体" w:eastAsia="宋体" w:cs="宋体"/>
      <w:b/>
      <w:bCs/>
      <w:kern w:val="0"/>
      <w:sz w:val="24"/>
      <w:szCs w:val="24"/>
    </w:rPr>
  </w:style>
  <w:style w:type="character" w:customStyle="1" w:styleId="10">
    <w:name w:val="标题 3 Char"/>
    <w:basedOn w:val="6"/>
    <w:link w:val="2"/>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1293</Words>
  <Characters>1370</Characters>
  <Lines>10</Lines>
  <Paragraphs>3</Paragraphs>
  <TotalTime>0</TotalTime>
  <ScaleCrop>false</ScaleCrop>
  <LinksUpToDate>false</LinksUpToDate>
  <CharactersWithSpaces>1384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2025-04-01T02:07:00Z</dcterms:created>
  <dc:creator>admin</dc:creator>
  <cp:lastModifiedBy>Lenovo</cp:lastModifiedBy>
  <dcterms:modified xsi:type="dcterms:W3CDTF">2025-12-31T10:04:46Z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eyJoZGlkIjoiZDc3YzNiMDJhNWJhZGFmMTcyOGFmMWE3NWFhODZmNDIiLCJ1c2VySWQiOiIzNDgwMDA2NDgifQ==</vt:lpwstr>
  </property>
  <property fmtid="{D5CDD505-2E9C-101B-9397-08002B2CF9AE}" pid="3" name="KSOProductBuildVer">
    <vt:lpwstr>2052-12.1.0.24034</vt:lpwstr>
  </property>
  <property fmtid="{D5CDD505-2E9C-101B-9397-08002B2CF9AE}" pid="4" name="ICV">
    <vt:lpwstr>F33B24F9DF1E4A9C84DC7C293BB99D80_13</vt:lpwstr>
  </property>
</Properties>
</file>