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72782A">
      <w:pPr>
        <w:autoSpaceDE w:val="0"/>
        <w:autoSpaceDN w:val="0"/>
        <w:adjustRightInd w:val="0"/>
        <w:spacing w:line="360" w:lineRule="auto"/>
        <w:jc w:val="center"/>
        <w:rPr>
          <w:rFonts w:hint="eastAsia" w:ascii="仿宋" w:hAnsi="仿宋" w:eastAsia="仿宋" w:cs="仿宋"/>
          <w:b/>
          <w:bCs/>
          <w:color w:val="auto"/>
          <w:kern w:val="44"/>
          <w:sz w:val="32"/>
          <w:szCs w:val="32"/>
          <w:highlight w:val="none"/>
          <w:lang w:val="en-US" w:eastAsia="zh-CN" w:bidi="ar-SA"/>
        </w:rPr>
      </w:pPr>
      <w:r>
        <w:rPr>
          <w:rFonts w:hint="eastAsia" w:ascii="仿宋" w:hAnsi="仿宋" w:eastAsia="仿宋" w:cs="仿宋"/>
          <w:b/>
          <w:bCs/>
          <w:color w:val="auto"/>
          <w:kern w:val="44"/>
          <w:sz w:val="32"/>
          <w:szCs w:val="32"/>
          <w:highlight w:val="none"/>
          <w:lang w:val="en-US" w:eastAsia="zh-CN" w:bidi="ar-SA"/>
        </w:rPr>
        <w:t>东莞市凤岗镇博深高速联络线及雁鸣湖路道路工程（一期）-箱涵工程（末端排渠）劳务分包采购需求书</w:t>
      </w:r>
    </w:p>
    <w:p w14:paraId="575D30B3">
      <w:pPr>
        <w:autoSpaceDE w:val="0"/>
        <w:autoSpaceDN w:val="0"/>
        <w:adjustRightInd w:val="0"/>
        <w:spacing w:line="360" w:lineRule="auto"/>
        <w:jc w:val="left"/>
        <w:rPr>
          <w:rFonts w:hint="eastAsia" w:ascii="方正仿宋_GB2312" w:hAnsi="方正仿宋_GB2312" w:eastAsia="方正仿宋_GB2312" w:cs="方正仿宋_GB2312"/>
          <w:b/>
          <w:color w:val="auto"/>
          <w:kern w:val="0"/>
          <w:sz w:val="24"/>
          <w:szCs w:val="24"/>
          <w:highlight w:val="none"/>
        </w:rPr>
      </w:pPr>
      <w:r>
        <w:rPr>
          <w:rFonts w:hint="eastAsia" w:ascii="方正仿宋_GB2312" w:hAnsi="方正仿宋_GB2312" w:eastAsia="方正仿宋_GB2312" w:cs="方正仿宋_GB2312"/>
          <w:b/>
          <w:color w:val="auto"/>
          <w:kern w:val="0"/>
          <w:sz w:val="24"/>
          <w:szCs w:val="24"/>
          <w:highlight w:val="none"/>
        </w:rPr>
        <w:t>一、项目信息</w:t>
      </w:r>
    </w:p>
    <w:p w14:paraId="43BF3B29">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jc w:val="left"/>
        <w:textAlignment w:val="auto"/>
        <w:rPr>
          <w:rFonts w:hint="eastAsia" w:ascii="方正仿宋_GB2312" w:hAnsi="方正仿宋_GB2312" w:eastAsia="方正仿宋_GB2312" w:cs="方正仿宋_GB2312"/>
          <w:b w:val="0"/>
          <w:bCs w:val="0"/>
          <w:color w:val="auto"/>
          <w:kern w:val="0"/>
          <w:sz w:val="24"/>
          <w:szCs w:val="24"/>
          <w:highlight w:val="none"/>
          <w:lang w:val="en-US" w:eastAsia="zh-CN" w:bidi="ar-SA"/>
        </w:rPr>
      </w:pPr>
      <w:r>
        <w:rPr>
          <w:rFonts w:hint="eastAsia" w:ascii="方正仿宋_GB2312" w:hAnsi="方正仿宋_GB2312" w:eastAsia="方正仿宋_GB2312" w:cs="方正仿宋_GB2312"/>
          <w:b w:val="0"/>
          <w:bCs w:val="0"/>
          <w:color w:val="auto"/>
          <w:kern w:val="0"/>
          <w:sz w:val="24"/>
          <w:szCs w:val="24"/>
          <w:highlight w:val="none"/>
          <w:lang w:val="en-US" w:eastAsia="zh-CN" w:bidi="ar-SA"/>
        </w:rPr>
        <w:t>1. 项目名称：</w:t>
      </w:r>
      <w:r>
        <w:rPr>
          <w:rFonts w:hint="eastAsia" w:ascii="方正仿宋_GB2312" w:hAnsi="方正仿宋_GB2312" w:eastAsia="方正仿宋_GB2312" w:cs="方正仿宋_GB2312"/>
          <w:color w:val="auto"/>
          <w:kern w:val="0"/>
          <w:sz w:val="24"/>
          <w:szCs w:val="24"/>
          <w:highlight w:val="none"/>
        </w:rPr>
        <w:t>东莞市</w:t>
      </w:r>
      <w:r>
        <w:rPr>
          <w:rFonts w:hint="eastAsia" w:ascii="方正仿宋_GB2312" w:hAnsi="方正仿宋_GB2312" w:eastAsia="方正仿宋_GB2312" w:cs="方正仿宋_GB2312"/>
          <w:color w:val="auto"/>
          <w:kern w:val="0"/>
          <w:sz w:val="24"/>
          <w:szCs w:val="24"/>
          <w:highlight w:val="none"/>
          <w:lang w:val="en-US" w:eastAsia="zh-CN"/>
        </w:rPr>
        <w:t>凤岗镇博深高速联络线及雁鸣湖路道路工程</w:t>
      </w:r>
      <w:r>
        <w:rPr>
          <w:rFonts w:hint="eastAsia" w:ascii="方正仿宋_GB2312" w:hAnsi="方正仿宋_GB2312" w:eastAsia="方正仿宋_GB2312" w:cs="方正仿宋_GB2312"/>
          <w:color w:val="auto"/>
          <w:kern w:val="0"/>
          <w:sz w:val="24"/>
          <w:szCs w:val="24"/>
          <w:highlight w:val="none"/>
        </w:rPr>
        <w:t>（一期）</w:t>
      </w:r>
      <w:r>
        <w:rPr>
          <w:rFonts w:hint="eastAsia" w:ascii="方正仿宋_GB2312" w:hAnsi="方正仿宋_GB2312" w:eastAsia="方正仿宋_GB2312" w:cs="方正仿宋_GB2312"/>
          <w:b w:val="0"/>
          <w:bCs w:val="0"/>
          <w:color w:val="auto"/>
          <w:kern w:val="0"/>
          <w:sz w:val="24"/>
          <w:szCs w:val="24"/>
          <w:highlight w:val="none"/>
          <w:lang w:val="en-US" w:eastAsia="zh-CN" w:bidi="ar-SA"/>
        </w:rPr>
        <w:t>-箱涵工程（末端排渠）劳务分包</w:t>
      </w:r>
    </w:p>
    <w:p w14:paraId="7D45427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jc w:val="left"/>
        <w:textAlignment w:val="auto"/>
        <w:rPr>
          <w:rFonts w:hint="eastAsia" w:ascii="方正仿宋_GB2312" w:hAnsi="方正仿宋_GB2312" w:eastAsia="方正仿宋_GB2312" w:cs="方正仿宋_GB2312"/>
          <w:b w:val="0"/>
          <w:bCs w:val="0"/>
          <w:color w:val="auto"/>
          <w:kern w:val="0"/>
          <w:sz w:val="24"/>
          <w:szCs w:val="24"/>
          <w:highlight w:val="none"/>
          <w:lang w:val="en-US" w:eastAsia="zh-CN" w:bidi="ar-SA"/>
        </w:rPr>
      </w:pPr>
      <w:r>
        <w:rPr>
          <w:rFonts w:hint="eastAsia" w:ascii="方正仿宋_GB2312" w:hAnsi="方正仿宋_GB2312" w:eastAsia="方正仿宋_GB2312" w:cs="方正仿宋_GB2312"/>
          <w:b w:val="0"/>
          <w:bCs w:val="0"/>
          <w:color w:val="auto"/>
          <w:kern w:val="0"/>
          <w:sz w:val="24"/>
          <w:szCs w:val="24"/>
          <w:highlight w:val="none"/>
          <w:lang w:val="en-US" w:eastAsia="zh-CN" w:bidi="ar-SA"/>
        </w:rPr>
        <w:t>2. 项目概况：</w:t>
      </w:r>
    </w:p>
    <w:p w14:paraId="6AFCEAA8">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jc w:val="left"/>
        <w:textAlignment w:val="auto"/>
        <w:rPr>
          <w:rFonts w:hint="eastAsia" w:ascii="方正仿宋_GB2312" w:hAnsi="方正仿宋_GB2312" w:eastAsia="方正仿宋_GB2312" w:cs="方正仿宋_GB2312"/>
          <w:b w:val="0"/>
          <w:bCs w:val="0"/>
          <w:color w:val="auto"/>
          <w:kern w:val="0"/>
          <w:sz w:val="24"/>
          <w:szCs w:val="24"/>
          <w:highlight w:val="none"/>
          <w:lang w:val="en-US" w:eastAsia="zh-CN" w:bidi="ar-SA"/>
        </w:rPr>
      </w:pPr>
      <w:r>
        <w:rPr>
          <w:rFonts w:hint="eastAsia" w:ascii="方正仿宋_GB2312" w:hAnsi="方正仿宋_GB2312" w:eastAsia="方正仿宋_GB2312" w:cs="方正仿宋_GB2312"/>
          <w:b w:val="0"/>
          <w:bCs w:val="0"/>
          <w:color w:val="auto"/>
          <w:kern w:val="0"/>
          <w:sz w:val="24"/>
          <w:szCs w:val="24"/>
          <w:highlight w:val="none"/>
          <w:lang w:val="en-US" w:eastAsia="zh-CN" w:bidi="ar-SA"/>
        </w:rPr>
        <w:t>2.1</w:t>
      </w:r>
      <w:r>
        <w:rPr>
          <w:rFonts w:hint="eastAsia" w:ascii="方正仿宋_GB2312" w:hAnsi="方正仿宋_GB2312" w:eastAsia="方正仿宋_GB2312" w:cs="方正仿宋_GB2312"/>
          <w:color w:val="auto"/>
          <w:kern w:val="0"/>
          <w:sz w:val="24"/>
          <w:szCs w:val="24"/>
          <w:highlight w:val="none"/>
          <w:lang w:val="en-US" w:eastAsia="zh-CN" w:bidi="ar-SA"/>
        </w:rPr>
        <w:t xml:space="preserve"> 本项目建设内容为新建雁鸣湖路及博深联络线和东深立交改造，两相交道路为城市主干道，包括道路工程、桥梁工程、通道工程、交通工程、末端排渠、给排水工程、电气自控、景观工程</w:t>
      </w:r>
      <w:r>
        <w:rPr>
          <w:rFonts w:hint="eastAsia" w:ascii="方正仿宋_GB2312" w:hAnsi="方正仿宋_GB2312" w:eastAsia="方正仿宋_GB2312" w:cs="方正仿宋_GB2312"/>
          <w:color w:val="auto"/>
          <w:sz w:val="24"/>
          <w:szCs w:val="24"/>
          <w:highlight w:val="none"/>
          <w:u w:val="none" w:color="auto"/>
        </w:rPr>
        <w:t>等工程。其中博深联络线共分为两段，第一段南起武深高速凤岗收费站，北至主辅分流点处，道路红线宽度为30-37m，双向6车道；第二段北起主辅分流点处，南至东深立交BS匝道起点，道路红线宽度为37m，主线双向4车道+辅道双向2车道。博深联络线设计采用主线下穿，辅道与雁鸣湖路平交的形式，主线道路等级为城市主干路，设计时速为 60km/h，路线全长约为0.94m，含0.46km下穿隧道一座(隧道敞开段315m，遮光段 45m，暗埋段100m)，辅道道路等级为城市次干路，时速40km/h，采用分离式路基设计的形式。雁鸣湖路西起现状京东大道，东至博深联络线，标准段红线宽度为40m，双向6车道，设计时速为50km/h(局部限速 40km/h)，道路等级为城市主干路，路线全长约为 0.31km，含大桥一座（桥梁长度约90.2m，跨径组合为1*88m，结构类型为下承式拱桥）。东深立交道路等级为公路立交，设计时速40km/h，立交匝道全长约为1.6km，含新建排水箱涵 3#5.0mx3.1m约382m，排水管最大管径为DN2400。</w:t>
      </w:r>
    </w:p>
    <w:p w14:paraId="4ADEFB7A">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jc w:val="left"/>
        <w:textAlignment w:val="auto"/>
        <w:rPr>
          <w:rFonts w:hint="eastAsia" w:ascii="方正仿宋_GB2312" w:hAnsi="方正仿宋_GB2312" w:eastAsia="方正仿宋_GB2312" w:cs="方正仿宋_GB2312"/>
          <w:b w:val="0"/>
          <w:bCs w:val="0"/>
          <w:color w:val="0000FF"/>
          <w:kern w:val="0"/>
          <w:sz w:val="24"/>
          <w:szCs w:val="24"/>
          <w:highlight w:val="none"/>
          <w:lang w:val="en-US" w:eastAsia="zh-CN" w:bidi="ar-SA"/>
        </w:rPr>
      </w:pPr>
      <w:r>
        <w:rPr>
          <w:rFonts w:hint="eastAsia" w:ascii="方正仿宋_GB2312" w:hAnsi="方正仿宋_GB2312" w:eastAsia="方正仿宋_GB2312" w:cs="方正仿宋_GB2312"/>
          <w:b w:val="0"/>
          <w:bCs w:val="0"/>
          <w:color w:val="auto"/>
          <w:kern w:val="0"/>
          <w:sz w:val="24"/>
          <w:szCs w:val="24"/>
          <w:highlight w:val="none"/>
          <w:lang w:val="en-US" w:eastAsia="zh-CN" w:bidi="ar-SA"/>
        </w:rPr>
        <w:t>2.2</w:t>
      </w:r>
      <w:r>
        <w:rPr>
          <w:rFonts w:hint="eastAsia" w:ascii="方正仿宋_GB2312" w:hAnsi="方正仿宋_GB2312" w:eastAsia="方正仿宋_GB2312" w:cs="方正仿宋_GB2312"/>
          <w:b w:val="0"/>
          <w:bCs w:val="0"/>
          <w:color w:val="000000" w:themeColor="text1"/>
          <w:kern w:val="0"/>
          <w:sz w:val="24"/>
          <w:szCs w:val="24"/>
          <w:highlight w:val="none"/>
          <w:lang w:val="en-US" w:eastAsia="zh-CN" w:bidi="ar-SA"/>
          <w14:textFill>
            <w14:solidFill>
              <w14:schemeClr w14:val="tx1"/>
            </w14:solidFill>
          </w14:textFill>
        </w:rPr>
        <w:t>本次需采购包括</w:t>
      </w:r>
      <w:r>
        <w:rPr>
          <w:rFonts w:hint="eastAsia" w:ascii="方正仿宋_GB2312" w:hAnsi="方正仿宋_GB2312" w:eastAsia="方正仿宋_GB2312" w:cs="方正仿宋_GB2312"/>
          <w:b w:val="0"/>
          <w:bCs w:val="0"/>
          <w:color w:val="auto"/>
          <w:kern w:val="0"/>
          <w:sz w:val="24"/>
          <w:szCs w:val="24"/>
          <w:highlight w:val="none"/>
          <w:lang w:val="en-US" w:eastAsia="zh-CN" w:bidi="ar-SA"/>
        </w:rPr>
        <w:t>箱涵工程（末端排渠）劳务分包及百千万工程</w:t>
      </w:r>
      <w:r>
        <w:rPr>
          <w:rFonts w:hint="eastAsia" w:ascii="方正仿宋_GB2312" w:hAnsi="方正仿宋_GB2312" w:eastAsia="方正仿宋_GB2312" w:cs="方正仿宋_GB2312"/>
          <w:b w:val="0"/>
          <w:bCs w:val="0"/>
          <w:color w:val="000000" w:themeColor="text1"/>
          <w:kern w:val="0"/>
          <w:sz w:val="24"/>
          <w:szCs w:val="24"/>
          <w:highlight w:val="none"/>
          <w:lang w:val="en-US" w:eastAsia="zh-CN" w:bidi="ar-SA"/>
          <w14:textFill>
            <w14:solidFill>
              <w14:schemeClr w14:val="tx1"/>
            </w14:solidFill>
          </w14:textFill>
        </w:rPr>
        <w:t>，暂定数量及具体工作内容详见附件1：东莞市凤岗镇博深高速联络线及雁鸣湖路道路工程（一期）-箱涵工程（末端排渠）劳务分包采购工程量清单</w:t>
      </w:r>
    </w:p>
    <w:p w14:paraId="30B181C9">
      <w:pPr>
        <w:numPr>
          <w:ilvl w:val="0"/>
          <w:numId w:val="1"/>
        </w:numPr>
        <w:autoSpaceDE w:val="0"/>
        <w:autoSpaceDN w:val="0"/>
        <w:adjustRightInd w:val="0"/>
        <w:spacing w:line="360" w:lineRule="auto"/>
        <w:jc w:val="left"/>
        <w:rPr>
          <w:rFonts w:hint="eastAsia" w:ascii="方正仿宋_GB2312" w:hAnsi="方正仿宋_GB2312" w:eastAsia="方正仿宋_GB2312" w:cs="方正仿宋_GB2312"/>
          <w:b/>
          <w:color w:val="auto"/>
          <w:kern w:val="0"/>
          <w:sz w:val="24"/>
          <w:szCs w:val="24"/>
          <w:highlight w:val="none"/>
          <w:lang w:val="en-US" w:eastAsia="zh-CN"/>
        </w:rPr>
      </w:pPr>
      <w:r>
        <w:rPr>
          <w:rFonts w:hint="eastAsia" w:ascii="方正仿宋_GB2312" w:hAnsi="方正仿宋_GB2312" w:eastAsia="方正仿宋_GB2312" w:cs="方正仿宋_GB2312"/>
          <w:b/>
          <w:color w:val="auto"/>
          <w:kern w:val="0"/>
          <w:sz w:val="24"/>
          <w:szCs w:val="24"/>
          <w:highlight w:val="none"/>
          <w:lang w:val="en-US" w:eastAsia="zh-CN"/>
        </w:rPr>
        <w:t>工作界面</w:t>
      </w:r>
    </w:p>
    <w:p w14:paraId="43F4CC18">
      <w:pPr>
        <w:spacing w:line="360" w:lineRule="auto"/>
        <w:ind w:left="16" w:leftChars="0" w:firstLine="463" w:firstLineChars="192"/>
        <w:rPr>
          <w:rFonts w:hint="default" w:ascii="方正仿宋_GB2312" w:hAnsi="方正仿宋_GB2312" w:eastAsia="方正仿宋_GB2312" w:cs="方正仿宋_GB2312"/>
          <w:bCs/>
          <w:color w:val="000000" w:themeColor="text1"/>
          <w:sz w:val="24"/>
          <w:szCs w:val="24"/>
          <w:highlight w:val="none"/>
          <w:lang w:val="en-US" w:eastAsia="zh-CN"/>
          <w14:textFill>
            <w14:solidFill>
              <w14:schemeClr w14:val="tx1"/>
            </w14:solidFill>
          </w14:textFill>
        </w:rPr>
      </w:pPr>
      <w:r>
        <w:rPr>
          <w:rFonts w:hint="eastAsia" w:ascii="方正仿宋_GB2312" w:hAnsi="方正仿宋_GB2312" w:eastAsia="方正仿宋_GB2312" w:cs="方正仿宋_GB2312"/>
          <w:b/>
          <w:color w:val="auto"/>
          <w:kern w:val="0"/>
          <w:sz w:val="24"/>
          <w:szCs w:val="24"/>
          <w:highlight w:val="none"/>
          <w:lang w:val="en-US" w:eastAsia="zh-CN"/>
        </w:rPr>
        <w:t xml:space="preserve"> 1、</w:t>
      </w:r>
      <w:r>
        <w:rPr>
          <w:rFonts w:hint="eastAsia" w:ascii="方正仿宋_GB2312" w:hAnsi="方正仿宋_GB2312" w:eastAsia="方正仿宋_GB2312" w:cs="方正仿宋_GB2312"/>
          <w:bCs/>
          <w:color w:val="auto"/>
          <w:sz w:val="24"/>
          <w:szCs w:val="24"/>
          <w:highlight w:val="none"/>
          <w:lang w:val="en-US" w:eastAsia="zh-CN"/>
        </w:rPr>
        <w:t>本工程所示东莞市凤岗镇博深高速联络线及雁鸣湖路道路工程（一期）-末端排渠工程（除桩基外）的全部工作，包括基坑开挖、集水井和坑外排水沟设置、基坑降水、明渠段（PQ1+417.26~PQ1+476.30）U型槽结构、箱涵段（PQ1+476.30~PQ1+709.80）三孔箱涵结构、明渠段（PQ1+709.0~PQ1+801.30）重力式挡墙结构、消能段（PQ1+801.30~PQ1+856.18）、箱涵道路搭板（PQ1+806.53~PQ1+813.03）、检查井、基坑回填、植筋、锚杆、 排水沟、</w:t>
      </w:r>
      <w:r>
        <w:rPr>
          <w:rFonts w:hint="eastAsia" w:ascii="方正仿宋_GB2312" w:hAnsi="方正仿宋_GB2312" w:eastAsia="方正仿宋_GB2312" w:cs="方正仿宋_GB2312"/>
          <w:bCs/>
          <w:color w:val="000000" w:themeColor="text1"/>
          <w:sz w:val="24"/>
          <w:szCs w:val="24"/>
          <w:highlight w:val="none"/>
          <w:lang w:val="en-US" w:eastAsia="zh-CN"/>
          <w14:textFill>
            <w14:solidFill>
              <w14:schemeClr w14:val="tx1"/>
            </w14:solidFill>
          </w14:textFill>
        </w:rPr>
        <w:t>防撞护栏、栏杆、配合实验检测、交通指挥、拆除旧涵、破坏粤港供水构筑物或地貌的恢复工作（可能包含围墙、绿化、检修道等）、施工围堰、导流围堰、钢板桩支护、设导流管、百千万工程。本工程钢筋、钢绞线、混凝土、钢板桩、钢管等材料由甲方提供（百千万工程除外），详见附件2：甲方供应材料清单，乙方提供除甲方供应材料外的所有零星材料。</w:t>
      </w:r>
    </w:p>
    <w:p w14:paraId="1564961E">
      <w:pPr>
        <w:spacing w:line="360" w:lineRule="auto"/>
        <w:ind w:firstLine="482" w:firstLineChars="201"/>
        <w:rPr>
          <w:rFonts w:hint="eastAsia" w:ascii="方正仿宋_GB2312" w:hAnsi="方正仿宋_GB2312" w:eastAsia="方正仿宋_GB2312" w:cs="方正仿宋_GB2312"/>
          <w:bCs/>
          <w:color w:val="auto"/>
          <w:sz w:val="24"/>
          <w:szCs w:val="24"/>
          <w:highlight w:val="none"/>
          <w:lang w:val="en-US" w:eastAsia="zh-CN"/>
        </w:rPr>
      </w:pPr>
      <w:r>
        <w:rPr>
          <w:rFonts w:hint="default" w:ascii="方正仿宋_GB2312" w:hAnsi="方正仿宋_GB2312" w:eastAsia="方正仿宋_GB2312" w:cs="方正仿宋_GB2312"/>
          <w:bCs/>
          <w:color w:val="auto"/>
          <w:sz w:val="24"/>
          <w:szCs w:val="24"/>
          <w:highlight w:val="none"/>
          <w:lang w:eastAsia="zh-CN"/>
        </w:rPr>
        <w:t>大型机械</w:t>
      </w:r>
      <w:r>
        <w:rPr>
          <w:rFonts w:hint="eastAsia" w:ascii="方正仿宋_GB2312" w:hAnsi="方正仿宋_GB2312" w:eastAsia="方正仿宋_GB2312" w:cs="方正仿宋_GB2312"/>
          <w:bCs/>
          <w:color w:val="auto"/>
          <w:sz w:val="24"/>
          <w:szCs w:val="24"/>
          <w:highlight w:val="none"/>
          <w:lang w:val="en-US" w:eastAsia="zh-CN"/>
        </w:rPr>
        <w:t>由</w:t>
      </w:r>
      <w:r>
        <w:rPr>
          <w:rFonts w:hint="default" w:ascii="方正仿宋_GB2312" w:hAnsi="方正仿宋_GB2312" w:eastAsia="方正仿宋_GB2312" w:cs="方正仿宋_GB2312"/>
          <w:bCs/>
          <w:color w:val="auto"/>
          <w:sz w:val="24"/>
          <w:szCs w:val="24"/>
          <w:highlight w:val="none"/>
          <w:lang w:eastAsia="zh-CN"/>
        </w:rPr>
        <w:t>甲方提供（百千万工程除外），详见附件3：甲方供应机械清单，乙方提供除甲方供应机械外的所有小型机具。</w:t>
      </w:r>
      <w:r>
        <w:rPr>
          <w:rFonts w:hint="eastAsia" w:ascii="方正仿宋_GB2312" w:hAnsi="方正仿宋_GB2312" w:eastAsia="方正仿宋_GB2312" w:cs="方正仿宋_GB2312"/>
          <w:bCs/>
          <w:color w:val="auto"/>
          <w:sz w:val="24"/>
          <w:szCs w:val="24"/>
          <w:highlight w:val="none"/>
          <w:lang w:val="en-US" w:eastAsia="zh-CN"/>
        </w:rPr>
        <w:t>采购范围未尽事宜，详见施工图纸和工程量清单范围内分部分项内容，并满足设计要求具体内容按照施工图纸、图纸会审、设计变更通知，甲方修改通知等设计文件，并按照相关标准规范、施工组织设计、专项施工方案、分项工程技术交底等有关技术文件的要求施工，确保工程验收质量，并有义务协助工程通过主管部门验收合格。</w:t>
      </w:r>
    </w:p>
    <w:p w14:paraId="2C00CDE4">
      <w:pPr>
        <w:spacing w:line="360" w:lineRule="auto"/>
        <w:ind w:left="16" w:leftChars="0" w:firstLine="460" w:firstLineChars="192"/>
        <w:rPr>
          <w:rFonts w:hint="eastAsia" w:ascii="方正仿宋_GB2312" w:hAnsi="方正仿宋_GB2312" w:eastAsia="方正仿宋_GB2312" w:cs="方正仿宋_GB2312"/>
          <w:bCs/>
          <w:color w:val="auto"/>
          <w:sz w:val="24"/>
          <w:szCs w:val="24"/>
          <w:highlight w:val="none"/>
          <w:lang w:val="en-US" w:eastAsia="zh-CN"/>
        </w:rPr>
      </w:pPr>
      <w:r>
        <w:rPr>
          <w:rFonts w:hint="eastAsia" w:ascii="方正仿宋_GB2312" w:hAnsi="方正仿宋_GB2312" w:eastAsia="方正仿宋_GB2312" w:cs="方正仿宋_GB2312"/>
          <w:bCs/>
          <w:color w:val="auto"/>
          <w:sz w:val="24"/>
          <w:szCs w:val="24"/>
          <w:highlight w:val="none"/>
          <w:lang w:val="en-US" w:eastAsia="zh-CN"/>
        </w:rPr>
        <w:t>2、安全文明施工项目包括不限于：进场从主便道到施工范围内的便道的修建维护，施工场地的平整清理，红线范围内全部绿色施工安全防护相关维护，完成分包范围相关的安全文明施工，所需围挡、标志标牌等材料由乙方自行采购安装。包括配备分包安全员、完成工程范围相关的临水、临电（分包班组负责一级电箱后的用于箱涵工程（末端排渠）施工的所有电线电缆电箱的采购和安装）、安全警示标志牌、宣传标语、场容场貌维护、材料堆放整理、现场防火、工完场清、垃圾清运（清运采购方指定地点）、施工相关的临时防护、安全防护用品、垂直运输防护、应急预案、非正常情况施工防护、施工扬尘污染防治、水环境保护(收集废水、设沉砂池、隔油设施等）、配合基坑监测、水质监测等费用，现场行政部门检查相关工作。</w:t>
      </w:r>
    </w:p>
    <w:p w14:paraId="49A21A7C">
      <w:pPr>
        <w:spacing w:line="360" w:lineRule="auto"/>
        <w:ind w:left="16" w:leftChars="0" w:firstLine="460" w:firstLineChars="192"/>
        <w:rPr>
          <w:rFonts w:hint="eastAsia" w:ascii="方正仿宋_GB2312" w:hAnsi="方正仿宋_GB2312" w:eastAsia="方正仿宋_GB2312" w:cs="方正仿宋_GB2312"/>
          <w:bCs/>
          <w:color w:val="auto"/>
          <w:sz w:val="24"/>
          <w:szCs w:val="24"/>
          <w:highlight w:val="none"/>
          <w:lang w:val="en-US" w:eastAsia="zh-CN"/>
        </w:rPr>
      </w:pPr>
      <w:r>
        <w:rPr>
          <w:rFonts w:hint="eastAsia" w:ascii="方正仿宋_GB2312" w:hAnsi="方正仿宋_GB2312" w:eastAsia="方正仿宋_GB2312" w:cs="方正仿宋_GB2312"/>
          <w:bCs/>
          <w:color w:val="auto"/>
          <w:sz w:val="24"/>
          <w:szCs w:val="24"/>
          <w:highlight w:val="none"/>
          <w:lang w:val="en-US" w:eastAsia="zh-CN"/>
        </w:rPr>
        <w:t>3、项目资料：包括不限于质检及安检等资料的编制及报送、技术支持及相关方案编制、专家送审等、协助项目部对外业务管理协调等。</w:t>
      </w:r>
    </w:p>
    <w:p w14:paraId="4DE70F13">
      <w:pPr>
        <w:spacing w:line="360" w:lineRule="auto"/>
        <w:ind w:left="16" w:leftChars="0" w:firstLine="460" w:firstLineChars="192"/>
        <w:rPr>
          <w:rFonts w:hint="eastAsia" w:ascii="方正仿宋_GB2312" w:hAnsi="方正仿宋_GB2312" w:eastAsia="方正仿宋_GB2312" w:cs="方正仿宋_GB2312"/>
          <w:b/>
          <w:color w:val="auto"/>
          <w:kern w:val="0"/>
          <w:sz w:val="24"/>
          <w:szCs w:val="24"/>
          <w:highlight w:val="none"/>
          <w:lang w:val="en-US" w:eastAsia="zh-CN"/>
        </w:rPr>
      </w:pPr>
      <w:r>
        <w:rPr>
          <w:rFonts w:hint="eastAsia" w:ascii="方正仿宋_GB2312" w:hAnsi="方正仿宋_GB2312" w:eastAsia="方正仿宋_GB2312" w:cs="方正仿宋_GB2312"/>
          <w:bCs/>
          <w:color w:val="auto"/>
          <w:sz w:val="24"/>
          <w:szCs w:val="24"/>
          <w:highlight w:val="none"/>
          <w:lang w:val="en-US" w:eastAsia="zh-CN"/>
        </w:rPr>
        <w:t>4、本工程包含完成所需的全部费用，</w:t>
      </w:r>
      <w:r>
        <w:rPr>
          <w:rFonts w:hint="eastAsia" w:ascii="方正仿宋_GB2312" w:hAnsi="方正仿宋_GB2312" w:eastAsia="方正仿宋_GB2312" w:cs="方正仿宋_GB2312"/>
          <w:b w:val="0"/>
          <w:bCs w:val="0"/>
          <w:color w:val="auto"/>
          <w:kern w:val="0"/>
          <w:sz w:val="24"/>
          <w:szCs w:val="24"/>
          <w:lang w:val="en-US" w:eastAsia="zh-CN"/>
        </w:rPr>
        <w:t>包括且不限于所需的</w:t>
      </w:r>
      <w:r>
        <w:rPr>
          <w:rFonts w:hint="eastAsia" w:ascii="方正仿宋_GB2312" w:hAnsi="方正仿宋_GB2312" w:eastAsia="方正仿宋_GB2312" w:cs="方正仿宋_GB2312"/>
          <w:bCs/>
          <w:color w:val="auto"/>
          <w:sz w:val="24"/>
          <w:szCs w:val="24"/>
          <w:highlight w:val="none"/>
          <w:lang w:val="en-US" w:eastAsia="zh-CN"/>
        </w:rPr>
        <w:t>劳务、材料、水费、电费、人员住宿费、人员伙食费、人员办公场地费、乙方自有机械机具的进退场费、成品维护费、安全文明施工费、场地清理费、</w:t>
      </w:r>
      <w:r>
        <w:rPr>
          <w:rFonts w:hint="eastAsia" w:ascii="方正仿宋_GB2312" w:hAnsi="方正仿宋_GB2312" w:eastAsia="方正仿宋_GB2312" w:cs="方正仿宋_GB2312"/>
          <w:bCs/>
          <w:color w:val="FF0000"/>
          <w:sz w:val="24"/>
          <w:szCs w:val="24"/>
          <w:highlight w:val="none"/>
          <w:lang w:val="en-US" w:eastAsia="zh-CN"/>
        </w:rPr>
        <w:t>包干费（施工过程中可能发生的零星工作、技术措施或不可预见的情况所产生的费用）</w:t>
      </w:r>
      <w:r>
        <w:rPr>
          <w:rFonts w:hint="eastAsia" w:ascii="方正仿宋_GB2312" w:hAnsi="方正仿宋_GB2312" w:eastAsia="方正仿宋_GB2312" w:cs="方正仿宋_GB2312"/>
          <w:bCs/>
          <w:color w:val="auto"/>
          <w:sz w:val="24"/>
          <w:szCs w:val="24"/>
          <w:highlight w:val="none"/>
          <w:lang w:val="en-US" w:eastAsia="zh-CN"/>
        </w:rPr>
        <w:t>、管理费、利润、税金及政策性文件规定的各项应有费用及采购文件明示或暗示的所有一切风险、责任和义务的费用。单价中均包含下道工序的预埋件防锈处理（若需）及安装。</w:t>
      </w:r>
    </w:p>
    <w:p w14:paraId="57FC7D88">
      <w:pPr>
        <w:autoSpaceDE w:val="0"/>
        <w:autoSpaceDN w:val="0"/>
        <w:adjustRightInd w:val="0"/>
        <w:spacing w:line="360" w:lineRule="auto"/>
        <w:jc w:val="left"/>
        <w:rPr>
          <w:rFonts w:hint="eastAsia" w:ascii="方正仿宋_GB2312" w:hAnsi="方正仿宋_GB2312" w:eastAsia="方正仿宋_GB2312" w:cs="方正仿宋_GB2312"/>
          <w:b/>
          <w:color w:val="auto"/>
          <w:kern w:val="0"/>
          <w:sz w:val="24"/>
          <w:szCs w:val="24"/>
          <w:highlight w:val="none"/>
          <w:lang w:val="en-US" w:eastAsia="zh-CN"/>
        </w:rPr>
      </w:pPr>
      <w:r>
        <w:rPr>
          <w:rFonts w:hint="eastAsia" w:ascii="方正仿宋_GB2312" w:hAnsi="方正仿宋_GB2312" w:eastAsia="方正仿宋_GB2312" w:cs="方正仿宋_GB2312"/>
          <w:b/>
          <w:color w:val="auto"/>
          <w:kern w:val="0"/>
          <w:sz w:val="24"/>
          <w:szCs w:val="24"/>
          <w:highlight w:val="none"/>
          <w:lang w:val="en-US" w:eastAsia="zh-CN"/>
        </w:rPr>
        <w:t>三、工期要求</w:t>
      </w:r>
    </w:p>
    <w:p w14:paraId="161E11D4">
      <w:pPr>
        <w:tabs>
          <w:tab w:val="left" w:pos="284"/>
        </w:tabs>
        <w:spacing w:line="480" w:lineRule="exact"/>
        <w:ind w:firstLine="720" w:firstLineChars="3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 xml:space="preserve">1. </w:t>
      </w:r>
      <w:r>
        <w:rPr>
          <w:rFonts w:hint="eastAsia" w:ascii="方正仿宋_GB2312" w:hAnsi="方正仿宋_GB2312" w:eastAsia="方正仿宋_GB2312" w:cs="方正仿宋_GB2312"/>
          <w:color w:val="auto"/>
          <w:sz w:val="24"/>
          <w:szCs w:val="24"/>
          <w:highlight w:val="none"/>
          <w:u w:val="single"/>
          <w:lang w:val="en-US" w:eastAsia="zh-CN"/>
        </w:rPr>
        <w:t>2026</w:t>
      </w:r>
      <w:r>
        <w:rPr>
          <w:rFonts w:hint="eastAsia" w:ascii="方正仿宋_GB2312" w:hAnsi="方正仿宋_GB2312" w:eastAsia="方正仿宋_GB2312" w:cs="方正仿宋_GB2312"/>
          <w:color w:val="auto"/>
          <w:sz w:val="24"/>
          <w:szCs w:val="24"/>
          <w:highlight w:val="none"/>
          <w:u w:val="single"/>
        </w:rPr>
        <w:t>年</w:t>
      </w:r>
      <w:r>
        <w:rPr>
          <w:rFonts w:hint="eastAsia" w:ascii="方正仿宋_GB2312" w:hAnsi="方正仿宋_GB2312" w:eastAsia="方正仿宋_GB2312" w:cs="方正仿宋_GB2312"/>
          <w:color w:val="auto"/>
          <w:sz w:val="24"/>
          <w:szCs w:val="24"/>
          <w:highlight w:val="none"/>
          <w:u w:val="single"/>
          <w:lang w:val="en-US" w:eastAsia="zh-CN"/>
        </w:rPr>
        <w:t>1</w:t>
      </w:r>
      <w:r>
        <w:rPr>
          <w:rFonts w:hint="eastAsia" w:ascii="方正仿宋_GB2312" w:hAnsi="方正仿宋_GB2312" w:eastAsia="方正仿宋_GB2312" w:cs="方正仿宋_GB2312"/>
          <w:color w:val="auto"/>
          <w:sz w:val="24"/>
          <w:szCs w:val="24"/>
          <w:highlight w:val="none"/>
          <w:u w:val="single"/>
        </w:rPr>
        <w:t>月</w:t>
      </w:r>
      <w:r>
        <w:rPr>
          <w:rFonts w:hint="eastAsia" w:ascii="方正仿宋_GB2312" w:hAnsi="方正仿宋_GB2312" w:eastAsia="方正仿宋_GB2312" w:cs="方正仿宋_GB2312"/>
          <w:color w:val="auto"/>
          <w:sz w:val="24"/>
          <w:szCs w:val="24"/>
          <w:highlight w:val="none"/>
          <w:u w:val="single"/>
          <w:lang w:val="en-US" w:eastAsia="zh-CN"/>
        </w:rPr>
        <w:t xml:space="preserve"> 16</w:t>
      </w:r>
      <w:r>
        <w:rPr>
          <w:rFonts w:hint="eastAsia" w:ascii="方正仿宋_GB2312" w:hAnsi="方正仿宋_GB2312" w:eastAsia="方正仿宋_GB2312" w:cs="方正仿宋_GB2312"/>
          <w:color w:val="auto"/>
          <w:sz w:val="24"/>
          <w:szCs w:val="24"/>
          <w:highlight w:val="none"/>
          <w:u w:val="single"/>
        </w:rPr>
        <w:t>日起至</w:t>
      </w:r>
      <w:r>
        <w:rPr>
          <w:rFonts w:hint="eastAsia" w:ascii="方正仿宋_GB2312" w:hAnsi="方正仿宋_GB2312" w:eastAsia="方正仿宋_GB2312" w:cs="方正仿宋_GB2312"/>
          <w:color w:val="auto"/>
          <w:sz w:val="24"/>
          <w:szCs w:val="24"/>
          <w:highlight w:val="none"/>
          <w:u w:val="single"/>
          <w:lang w:val="en-US" w:eastAsia="zh-CN"/>
        </w:rPr>
        <w:t>2026</w:t>
      </w:r>
      <w:r>
        <w:rPr>
          <w:rFonts w:hint="eastAsia" w:ascii="方正仿宋_GB2312" w:hAnsi="方正仿宋_GB2312" w:eastAsia="方正仿宋_GB2312" w:cs="方正仿宋_GB2312"/>
          <w:color w:val="auto"/>
          <w:sz w:val="24"/>
          <w:szCs w:val="24"/>
          <w:highlight w:val="none"/>
          <w:u w:val="single"/>
        </w:rPr>
        <w:t>年</w:t>
      </w:r>
      <w:r>
        <w:rPr>
          <w:rFonts w:hint="eastAsia" w:ascii="方正仿宋_GB2312" w:hAnsi="方正仿宋_GB2312" w:eastAsia="方正仿宋_GB2312" w:cs="方正仿宋_GB2312"/>
          <w:color w:val="auto"/>
          <w:sz w:val="24"/>
          <w:szCs w:val="24"/>
          <w:highlight w:val="none"/>
          <w:u w:val="single"/>
          <w:lang w:val="en-US" w:eastAsia="zh-CN"/>
        </w:rPr>
        <w:t xml:space="preserve"> 9</w:t>
      </w:r>
      <w:r>
        <w:rPr>
          <w:rFonts w:hint="eastAsia" w:ascii="方正仿宋_GB2312" w:hAnsi="方正仿宋_GB2312" w:eastAsia="方正仿宋_GB2312" w:cs="方正仿宋_GB2312"/>
          <w:color w:val="auto"/>
          <w:sz w:val="24"/>
          <w:szCs w:val="24"/>
          <w:highlight w:val="none"/>
          <w:u w:val="single"/>
        </w:rPr>
        <w:t>月</w:t>
      </w:r>
      <w:r>
        <w:rPr>
          <w:rFonts w:hint="eastAsia" w:ascii="方正仿宋_GB2312" w:hAnsi="方正仿宋_GB2312" w:eastAsia="方正仿宋_GB2312" w:cs="方正仿宋_GB2312"/>
          <w:color w:val="auto"/>
          <w:sz w:val="24"/>
          <w:szCs w:val="24"/>
          <w:highlight w:val="none"/>
          <w:u w:val="single"/>
          <w:lang w:val="en-US" w:eastAsia="zh-CN"/>
        </w:rPr>
        <w:t xml:space="preserve"> 30 </w:t>
      </w:r>
      <w:r>
        <w:rPr>
          <w:rFonts w:hint="eastAsia" w:ascii="方正仿宋_GB2312" w:hAnsi="方正仿宋_GB2312" w:eastAsia="方正仿宋_GB2312" w:cs="方正仿宋_GB2312"/>
          <w:color w:val="auto"/>
          <w:sz w:val="24"/>
          <w:szCs w:val="24"/>
          <w:highlight w:val="none"/>
          <w:u w:val="single"/>
        </w:rPr>
        <w:t>日，工期为</w:t>
      </w:r>
      <w:r>
        <w:rPr>
          <w:rFonts w:hint="eastAsia" w:ascii="方正仿宋_GB2312" w:hAnsi="方正仿宋_GB2312" w:eastAsia="方正仿宋_GB2312" w:cs="方正仿宋_GB2312"/>
          <w:color w:val="auto"/>
          <w:sz w:val="24"/>
          <w:szCs w:val="24"/>
          <w:highlight w:val="none"/>
          <w:u w:val="single"/>
          <w:lang w:val="en-US" w:eastAsia="zh-CN"/>
        </w:rPr>
        <w:t>257</w:t>
      </w:r>
      <w:r>
        <w:rPr>
          <w:rFonts w:hint="eastAsia" w:ascii="方正仿宋_GB2312" w:hAnsi="方正仿宋_GB2312" w:eastAsia="方正仿宋_GB2312" w:cs="方正仿宋_GB2312"/>
          <w:color w:val="auto"/>
          <w:sz w:val="24"/>
          <w:szCs w:val="24"/>
          <w:highlight w:val="none"/>
          <w:u w:val="single"/>
        </w:rPr>
        <w:t>个日历天（含国家法定节假日）</w:t>
      </w:r>
      <w:r>
        <w:rPr>
          <w:rFonts w:hint="eastAsia" w:ascii="方正仿宋_GB2312" w:hAnsi="方正仿宋_GB2312" w:eastAsia="方正仿宋_GB2312" w:cs="方正仿宋_GB2312"/>
          <w:color w:val="auto"/>
          <w:sz w:val="24"/>
          <w:szCs w:val="24"/>
          <w:highlight w:val="none"/>
        </w:rPr>
        <w:t>，具体日期</w:t>
      </w:r>
      <w:r>
        <w:rPr>
          <w:rFonts w:hint="eastAsia" w:ascii="方正仿宋_GB2312" w:hAnsi="方正仿宋_GB2312" w:eastAsia="方正仿宋_GB2312" w:cs="方正仿宋_GB2312"/>
          <w:color w:val="auto"/>
          <w:kern w:val="0"/>
          <w:sz w:val="24"/>
          <w:szCs w:val="24"/>
          <w:highlight w:val="none"/>
        </w:rPr>
        <w:t>以甲方开工通知单上载明的开工日期为准，施工过程中无条件配合项目总进度计划中关键节点实施或者调整。</w:t>
      </w:r>
      <w:r>
        <w:rPr>
          <w:rFonts w:hint="eastAsia" w:ascii="方正仿宋_GB2312" w:hAnsi="方正仿宋_GB2312" w:eastAsia="方正仿宋_GB2312" w:cs="方正仿宋_GB2312"/>
          <w:color w:val="auto"/>
          <w:kern w:val="0"/>
          <w:sz w:val="24"/>
          <w:szCs w:val="24"/>
          <w:highlight w:val="none"/>
          <w:lang w:val="en-US" w:eastAsia="zh-CN"/>
        </w:rPr>
        <w:t>百千万工程工期单独确定。</w:t>
      </w:r>
    </w:p>
    <w:p w14:paraId="47503FC3">
      <w:pPr>
        <w:widowControl/>
        <w:autoSpaceDE w:val="0"/>
        <w:autoSpaceDN w:val="0"/>
        <w:adjustRightInd w:val="0"/>
        <w:spacing w:line="360" w:lineRule="auto"/>
        <w:ind w:left="0" w:leftChars="0" w:right="-197" w:rightChars="-82" w:firstLine="720" w:firstLineChars="300"/>
        <w:jc w:val="left"/>
        <w:rPr>
          <w:rFonts w:hint="eastAsia" w:ascii="方正仿宋_GB2312" w:hAnsi="方正仿宋_GB2312" w:eastAsia="方正仿宋_GB2312" w:cs="方正仿宋_GB2312"/>
          <w:color w:val="0000FF"/>
          <w:kern w:val="0"/>
          <w:sz w:val="24"/>
          <w:szCs w:val="24"/>
          <w:highlight w:val="none"/>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pPr>
      <w:r>
        <w:rPr>
          <w:rFonts w:hint="eastAsia" w:ascii="方正仿宋_GB2312" w:hAnsi="方正仿宋_GB2312" w:eastAsia="方正仿宋_GB2312" w:cs="方正仿宋_GB2312"/>
          <w:color w:val="0000FF"/>
          <w:kern w:val="0"/>
          <w:sz w:val="24"/>
          <w:szCs w:val="24"/>
          <w:highlight w:val="none"/>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 xml:space="preserve">2. </w:t>
      </w:r>
      <w:r>
        <w:rPr>
          <w:rFonts w:hint="eastAsia" w:ascii="方正仿宋_GB2312" w:hAnsi="方正仿宋_GB2312" w:eastAsia="方正仿宋_GB2312" w:cs="方正仿宋_GB2312"/>
          <w:color w:val="0000FF"/>
          <w:kern w:val="0"/>
          <w:sz w:val="24"/>
          <w:szCs w:val="24"/>
          <w:highlight w:val="none"/>
          <w:lang w:val="en-US" w:eastAsia="zh-CN"/>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施工</w:t>
      </w:r>
      <w:r>
        <w:rPr>
          <w:rFonts w:hint="eastAsia" w:ascii="方正仿宋_GB2312" w:hAnsi="方正仿宋_GB2312" w:eastAsia="方正仿宋_GB2312" w:cs="方正仿宋_GB2312"/>
          <w:color w:val="0000FF"/>
          <w:kern w:val="0"/>
          <w:sz w:val="24"/>
          <w:szCs w:val="24"/>
          <w:highlight w:val="none"/>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地点：</w:t>
      </w:r>
    </w:p>
    <w:tbl>
      <w:tblPr>
        <w:tblStyle w:val="5"/>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324"/>
        <w:gridCol w:w="4280"/>
        <w:gridCol w:w="2467"/>
      </w:tblGrid>
      <w:tr w14:paraId="0ED1C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13" w:type="dxa"/>
            <w:noWrap/>
            <w:vAlign w:val="center"/>
          </w:tcPr>
          <w:p w14:paraId="3F1EA712">
            <w:pPr>
              <w:widowControl/>
              <w:spacing w:line="360" w:lineRule="auto"/>
              <w:jc w:val="center"/>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序号</w:t>
            </w:r>
          </w:p>
        </w:tc>
        <w:tc>
          <w:tcPr>
            <w:tcW w:w="1324" w:type="dxa"/>
            <w:noWrap w:val="0"/>
            <w:vAlign w:val="center"/>
          </w:tcPr>
          <w:p w14:paraId="4F2B143F">
            <w:pPr>
              <w:widowControl/>
              <w:spacing w:line="360" w:lineRule="auto"/>
              <w:jc w:val="center"/>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color w:val="auto"/>
                <w:sz w:val="24"/>
                <w:szCs w:val="24"/>
                <w:highlight w:val="none"/>
                <w:lang w:val="en-US" w:eastAsia="zh-CN"/>
              </w:rPr>
              <w:t>施工</w:t>
            </w:r>
            <w:r>
              <w:rPr>
                <w:rFonts w:hint="eastAsia" w:ascii="方正仿宋_GB2312" w:hAnsi="方正仿宋_GB2312" w:eastAsia="方正仿宋_GB2312" w:cs="方正仿宋_GB2312"/>
                <w:b/>
                <w:color w:val="auto"/>
                <w:sz w:val="24"/>
                <w:szCs w:val="24"/>
                <w:highlight w:val="none"/>
              </w:rPr>
              <w:t>地点</w:t>
            </w:r>
          </w:p>
        </w:tc>
        <w:tc>
          <w:tcPr>
            <w:tcW w:w="4280" w:type="dxa"/>
            <w:noWrap w:val="0"/>
            <w:vAlign w:val="center"/>
          </w:tcPr>
          <w:p w14:paraId="07EA2312">
            <w:pPr>
              <w:widowControl/>
              <w:spacing w:line="360" w:lineRule="auto"/>
              <w:jc w:val="center"/>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color w:val="auto"/>
                <w:sz w:val="24"/>
                <w:szCs w:val="24"/>
                <w:highlight w:val="none"/>
              </w:rPr>
              <w:t>详细地址</w:t>
            </w:r>
          </w:p>
        </w:tc>
        <w:tc>
          <w:tcPr>
            <w:tcW w:w="2467" w:type="dxa"/>
            <w:noWrap w:val="0"/>
            <w:vAlign w:val="center"/>
          </w:tcPr>
          <w:p w14:paraId="76D5A968">
            <w:pPr>
              <w:widowControl/>
              <w:spacing w:line="360" w:lineRule="auto"/>
              <w:jc w:val="center"/>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备注</w:t>
            </w:r>
          </w:p>
        </w:tc>
      </w:tr>
      <w:tr w14:paraId="16786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13" w:type="dxa"/>
            <w:noWrap/>
            <w:vAlign w:val="center"/>
          </w:tcPr>
          <w:p w14:paraId="0424C888">
            <w:pPr>
              <w:widowControl/>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p>
        </w:tc>
        <w:tc>
          <w:tcPr>
            <w:tcW w:w="1324" w:type="dxa"/>
            <w:tcBorders>
              <w:right w:val="single" w:color="auto" w:sz="4" w:space="0"/>
            </w:tcBorders>
            <w:noWrap w:val="0"/>
            <w:vAlign w:val="center"/>
          </w:tcPr>
          <w:p w14:paraId="53857A4D">
            <w:pPr>
              <w:widowControl/>
              <w:jc w:val="center"/>
              <w:rPr>
                <w:rFonts w:hint="eastAsia" w:ascii="方正仿宋_GB2312" w:hAnsi="方正仿宋_GB2312" w:eastAsia="方正仿宋_GB2312" w:cs="方正仿宋_GB2312"/>
                <w:color w:val="auto"/>
                <w:sz w:val="24"/>
                <w:szCs w:val="24"/>
                <w:highlight w:val="none"/>
                <w:lang w:val="en-US"/>
              </w:rPr>
            </w:pPr>
            <w:r>
              <w:rPr>
                <w:rFonts w:hint="eastAsia" w:ascii="方正仿宋_GB2312" w:hAnsi="方正仿宋_GB2312" w:eastAsia="方正仿宋_GB2312" w:cs="方正仿宋_GB2312"/>
                <w:color w:val="auto"/>
                <w:sz w:val="24"/>
                <w:szCs w:val="24"/>
                <w:highlight w:val="none"/>
                <w:lang w:val="en-US" w:eastAsia="zh-CN"/>
              </w:rPr>
              <w:t>东莞市凤岗镇</w:t>
            </w:r>
          </w:p>
        </w:tc>
        <w:tc>
          <w:tcPr>
            <w:tcW w:w="4280" w:type="dxa"/>
            <w:noWrap w:val="0"/>
            <w:vAlign w:val="center"/>
          </w:tcPr>
          <w:p w14:paraId="6051BE83">
            <w:pPr>
              <w:widowControl/>
              <w:tabs>
                <w:tab w:val="left" w:pos="669"/>
              </w:tabs>
              <w:jc w:val="center"/>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京东智谷京东大道前</w:t>
            </w:r>
          </w:p>
        </w:tc>
        <w:tc>
          <w:tcPr>
            <w:tcW w:w="2467" w:type="dxa"/>
            <w:noWrap w:val="0"/>
            <w:vAlign w:val="center"/>
          </w:tcPr>
          <w:p w14:paraId="58FADF7F">
            <w:pPr>
              <w:widowControl/>
              <w:jc w:val="center"/>
              <w:rPr>
                <w:rFonts w:hint="eastAsia" w:ascii="方正仿宋_GB2312" w:hAnsi="方正仿宋_GB2312" w:eastAsia="方正仿宋_GB2312" w:cs="方正仿宋_GB2312"/>
                <w:color w:val="auto"/>
                <w:sz w:val="24"/>
                <w:szCs w:val="24"/>
                <w:highlight w:val="none"/>
                <w:lang w:val="en-US" w:eastAsia="zh-CN"/>
              </w:rPr>
            </w:pPr>
          </w:p>
        </w:tc>
      </w:tr>
    </w:tbl>
    <w:p w14:paraId="37E9532D">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方正仿宋_GB2312" w:hAnsi="方正仿宋_GB2312" w:eastAsia="方正仿宋_GB2312" w:cs="方正仿宋_GB2312"/>
          <w:b/>
          <w:color w:val="auto"/>
          <w:kern w:val="0"/>
          <w:sz w:val="24"/>
          <w:szCs w:val="24"/>
          <w:highlight w:val="none"/>
          <w:lang w:val="en-US" w:eastAsia="zh-CN"/>
        </w:rPr>
      </w:pPr>
    </w:p>
    <w:p w14:paraId="1C25F6E4">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方正仿宋_GB2312" w:hAnsi="方正仿宋_GB2312" w:eastAsia="方正仿宋_GB2312" w:cs="方正仿宋_GB2312"/>
          <w:b/>
          <w:color w:val="auto"/>
          <w:kern w:val="0"/>
          <w:sz w:val="24"/>
          <w:szCs w:val="24"/>
          <w:highlight w:val="none"/>
          <w:lang w:val="en-US" w:eastAsia="zh-CN"/>
        </w:rPr>
      </w:pPr>
      <w:r>
        <w:rPr>
          <w:rFonts w:hint="eastAsia" w:ascii="方正仿宋_GB2312" w:hAnsi="方正仿宋_GB2312" w:eastAsia="方正仿宋_GB2312" w:cs="方正仿宋_GB2312"/>
          <w:b/>
          <w:color w:val="auto"/>
          <w:kern w:val="0"/>
          <w:sz w:val="24"/>
          <w:szCs w:val="24"/>
          <w:highlight w:val="none"/>
          <w:lang w:val="en-US" w:eastAsia="zh-CN"/>
        </w:rPr>
        <w:t>四、资质及人员配备要求</w:t>
      </w:r>
    </w:p>
    <w:p w14:paraId="7F409CA0">
      <w:pPr>
        <w:keepNext w:val="0"/>
        <w:keepLines w:val="0"/>
        <w:pageBreakBefore w:val="0"/>
        <w:kinsoku/>
        <w:wordWrap/>
        <w:overflowPunct/>
        <w:topLinePunct w:val="0"/>
        <w:bidi w:val="0"/>
        <w:snapToGrid/>
        <w:spacing w:line="360" w:lineRule="auto"/>
        <w:ind w:firstLine="480" w:firstLineChars="200"/>
        <w:textAlignment w:val="auto"/>
        <w:rPr>
          <w:rFonts w:hint="eastAsia" w:ascii="方正仿宋_GB2312" w:hAnsi="方正仿宋_GB2312" w:eastAsia="方正仿宋_GB2312" w:cs="方正仿宋_GB2312"/>
          <w:b w:val="0"/>
          <w:bCs w:val="0"/>
          <w:color w:val="000000" w:themeColor="text1"/>
          <w:kern w:val="0"/>
          <w:sz w:val="24"/>
          <w:szCs w:val="24"/>
          <w:highlight w:val="none"/>
          <w:lang w:val="en-US" w:eastAsia="zh-CN" w:bidi="ar-SA"/>
          <w14:textFill>
            <w14:solidFill>
              <w14:schemeClr w14:val="tx1"/>
            </w14:solidFill>
          </w14:textFill>
        </w:rPr>
      </w:pPr>
      <w:r>
        <w:rPr>
          <w:rFonts w:hint="eastAsia" w:ascii="方正仿宋_GB2312" w:hAnsi="方正仿宋_GB2312" w:eastAsia="方正仿宋_GB2312" w:cs="方正仿宋_GB2312"/>
          <w:b w:val="0"/>
          <w:bCs w:val="0"/>
          <w:color w:val="000000" w:themeColor="text1"/>
          <w:kern w:val="0"/>
          <w:sz w:val="24"/>
          <w:szCs w:val="24"/>
          <w:highlight w:val="none"/>
          <w:lang w:val="en-US" w:eastAsia="zh-CN" w:bidi="ar-SA"/>
          <w14:textFill>
            <w14:solidFill>
              <w14:schemeClr w14:val="tx1"/>
            </w14:solidFill>
          </w14:textFill>
        </w:rPr>
        <w:t>1、资质要求</w:t>
      </w:r>
    </w:p>
    <w:p w14:paraId="6AACBBC2">
      <w:pPr>
        <w:numPr>
          <w:ilvl w:val="0"/>
          <w:numId w:val="0"/>
        </w:numPr>
        <w:tabs>
          <w:tab w:val="left" w:pos="7560"/>
        </w:tabs>
        <w:spacing w:line="360" w:lineRule="auto"/>
        <w:ind w:firstLine="480" w:firstLineChars="200"/>
        <w:rPr>
          <w:rFonts w:hint="default" w:ascii="方正仿宋_GB2312" w:hAnsi="方正仿宋_GB2312" w:eastAsia="方正仿宋_GB2312" w:cs="方正仿宋_GB2312"/>
          <w:color w:val="FF0000"/>
          <w:sz w:val="24"/>
          <w:szCs w:val="24"/>
          <w:lang w:val="en-US" w:eastAsia="zh-CN"/>
        </w:rPr>
      </w:pPr>
      <w:r>
        <w:rPr>
          <w:rFonts w:hint="eastAsia" w:ascii="方正仿宋_GB2312" w:hAnsi="方正仿宋_GB2312" w:eastAsia="方正仿宋_GB2312" w:cs="方正仿宋_GB2312"/>
          <w:color w:val="FF0000"/>
          <w:sz w:val="24"/>
          <w:szCs w:val="24"/>
          <w:lang w:val="en-US" w:eastAsia="zh-CN"/>
        </w:rPr>
        <w:t>本工程需要资质为施工劳务不分等级。</w:t>
      </w:r>
    </w:p>
    <w:p w14:paraId="0DEC5BD0">
      <w:pPr>
        <w:numPr>
          <w:ilvl w:val="0"/>
          <w:numId w:val="2"/>
        </w:numPr>
        <w:tabs>
          <w:tab w:val="left" w:pos="7560"/>
        </w:tabs>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人员配备要求</w:t>
      </w:r>
    </w:p>
    <w:p w14:paraId="49209E31">
      <w:pPr>
        <w:keepNext w:val="0"/>
        <w:keepLines w:val="0"/>
        <w:pageBreakBefore w:val="0"/>
        <w:kinsoku/>
        <w:wordWrap/>
        <w:overflowPunct/>
        <w:topLinePunct w:val="0"/>
        <w:autoSpaceDE w:val="0"/>
        <w:autoSpaceDN w:val="0"/>
        <w:bidi w:val="0"/>
        <w:adjustRightInd w:val="0"/>
        <w:snapToGrid/>
        <w:spacing w:line="360" w:lineRule="auto"/>
        <w:ind w:firstLine="482" w:firstLineChars="201"/>
        <w:jc w:val="left"/>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项目负责人须常驻，技术人员不少于2人，施工员不少于4人，安全员不少于2人，资料员不少于2人，水电工不少于2人，工人数量应保证能满足现场进度计划要求。</w:t>
      </w:r>
    </w:p>
    <w:p w14:paraId="55719ADE">
      <w:pPr>
        <w:keepNext w:val="0"/>
        <w:keepLines w:val="0"/>
        <w:pageBreakBefore w:val="0"/>
        <w:numPr>
          <w:ilvl w:val="0"/>
          <w:numId w:val="0"/>
        </w:numPr>
        <w:kinsoku/>
        <w:wordWrap/>
        <w:overflowPunct/>
        <w:topLinePunct w:val="0"/>
        <w:autoSpaceDE w:val="0"/>
        <w:autoSpaceDN w:val="0"/>
        <w:bidi w:val="0"/>
        <w:adjustRightInd w:val="0"/>
        <w:snapToGrid/>
        <w:spacing w:line="360" w:lineRule="auto"/>
        <w:ind w:left="66" w:leftChars="0"/>
        <w:jc w:val="left"/>
        <w:textAlignment w:val="auto"/>
        <w:rPr>
          <w:rFonts w:hint="eastAsia" w:ascii="方正仿宋_GB2312" w:hAnsi="方正仿宋_GB2312" w:eastAsia="方正仿宋_GB2312" w:cs="方正仿宋_GB2312"/>
          <w:b/>
          <w:color w:val="auto"/>
          <w:kern w:val="0"/>
          <w:sz w:val="24"/>
          <w:szCs w:val="24"/>
          <w:highlight w:val="none"/>
          <w:lang w:val="en-US" w:eastAsia="zh-CN"/>
        </w:rPr>
      </w:pPr>
    </w:p>
    <w:p w14:paraId="1E7B27A4">
      <w:pPr>
        <w:keepNext w:val="0"/>
        <w:keepLines w:val="0"/>
        <w:pageBreakBefore w:val="0"/>
        <w:numPr>
          <w:ilvl w:val="0"/>
          <w:numId w:val="0"/>
        </w:numPr>
        <w:kinsoku/>
        <w:wordWrap/>
        <w:overflowPunct/>
        <w:topLinePunct w:val="0"/>
        <w:autoSpaceDE w:val="0"/>
        <w:autoSpaceDN w:val="0"/>
        <w:bidi w:val="0"/>
        <w:adjustRightInd w:val="0"/>
        <w:snapToGrid/>
        <w:spacing w:line="360" w:lineRule="auto"/>
        <w:jc w:val="left"/>
        <w:textAlignment w:val="auto"/>
        <w:rPr>
          <w:rFonts w:hint="eastAsia" w:ascii="方正仿宋_GB2312" w:hAnsi="方正仿宋_GB2312" w:eastAsia="方正仿宋_GB2312" w:cs="方正仿宋_GB2312"/>
          <w:b/>
          <w:color w:val="auto"/>
          <w:kern w:val="0"/>
          <w:sz w:val="24"/>
          <w:szCs w:val="24"/>
          <w:highlight w:val="none"/>
          <w:lang w:val="en-US" w:eastAsia="zh-CN"/>
        </w:rPr>
      </w:pPr>
      <w:r>
        <w:rPr>
          <w:rFonts w:hint="eastAsia" w:ascii="方正仿宋_GB2312" w:hAnsi="方正仿宋_GB2312" w:eastAsia="方正仿宋_GB2312" w:cs="方正仿宋_GB2312"/>
          <w:b/>
          <w:color w:val="auto"/>
          <w:kern w:val="0"/>
          <w:sz w:val="24"/>
          <w:szCs w:val="24"/>
          <w:highlight w:val="none"/>
          <w:lang w:val="en-US" w:eastAsia="zh-CN"/>
        </w:rPr>
        <w:t>五、技术要求</w:t>
      </w:r>
    </w:p>
    <w:p w14:paraId="74CB5B8F">
      <w:pPr>
        <w:keepNext w:val="0"/>
        <w:keepLines w:val="0"/>
        <w:pageBreakBefore w:val="0"/>
        <w:kinsoku/>
        <w:wordWrap/>
        <w:overflowPunct/>
        <w:topLinePunct w:val="0"/>
        <w:bidi w:val="0"/>
        <w:snapToGrid/>
        <w:spacing w:line="360" w:lineRule="auto"/>
        <w:ind w:firstLine="480" w:firstLineChars="200"/>
        <w:textAlignment w:val="auto"/>
        <w:rPr>
          <w:rFonts w:hint="eastAsia" w:ascii="方正仿宋_GB2312" w:hAnsi="方正仿宋_GB2312" w:eastAsia="方正仿宋_GB2312" w:cs="方正仿宋_GB2312"/>
          <w:b w:val="0"/>
          <w:bCs w:val="0"/>
          <w:color w:val="auto"/>
          <w:kern w:val="0"/>
          <w:sz w:val="24"/>
          <w:szCs w:val="24"/>
          <w:highlight w:val="none"/>
          <w:lang w:val="en-US" w:eastAsia="zh-CN" w:bidi="ar-SA"/>
        </w:rPr>
      </w:pPr>
      <w:r>
        <w:rPr>
          <w:rFonts w:hint="eastAsia" w:ascii="方正仿宋_GB2312" w:hAnsi="方正仿宋_GB2312" w:eastAsia="方正仿宋_GB2312" w:cs="方正仿宋_GB2312"/>
          <w:b w:val="0"/>
          <w:bCs w:val="0"/>
          <w:color w:val="auto"/>
          <w:kern w:val="0"/>
          <w:sz w:val="24"/>
          <w:szCs w:val="24"/>
          <w:highlight w:val="none"/>
          <w:lang w:val="en-US" w:eastAsia="zh-CN" w:bidi="ar-SA"/>
        </w:rPr>
        <w:t>1.满足国家、行业及地方技术规程、规范要求。</w:t>
      </w:r>
    </w:p>
    <w:p w14:paraId="7BD4B280">
      <w:pPr>
        <w:keepNext w:val="0"/>
        <w:keepLines w:val="0"/>
        <w:pageBreakBefore w:val="0"/>
        <w:kinsoku/>
        <w:wordWrap/>
        <w:overflowPunct/>
        <w:topLinePunct w:val="0"/>
        <w:bidi w:val="0"/>
        <w:snapToGrid/>
        <w:spacing w:line="360" w:lineRule="auto"/>
        <w:ind w:firstLine="480" w:firstLineChars="200"/>
        <w:textAlignment w:val="auto"/>
        <w:rPr>
          <w:rFonts w:hint="eastAsia" w:ascii="方正仿宋_GB2312" w:hAnsi="方正仿宋_GB2312" w:eastAsia="方正仿宋_GB2312" w:cs="方正仿宋_GB2312"/>
          <w:b w:val="0"/>
          <w:bCs w:val="0"/>
          <w:color w:val="auto"/>
          <w:kern w:val="0"/>
          <w:sz w:val="24"/>
          <w:szCs w:val="24"/>
          <w:highlight w:val="none"/>
          <w:lang w:val="en-US" w:eastAsia="zh-CN" w:bidi="ar-SA"/>
        </w:rPr>
      </w:pPr>
      <w:r>
        <w:rPr>
          <w:rFonts w:hint="eastAsia" w:ascii="方正仿宋_GB2312" w:hAnsi="方正仿宋_GB2312" w:eastAsia="方正仿宋_GB2312" w:cs="方正仿宋_GB2312"/>
          <w:b w:val="0"/>
          <w:bCs w:val="0"/>
          <w:color w:val="auto"/>
          <w:kern w:val="0"/>
          <w:sz w:val="24"/>
          <w:szCs w:val="24"/>
          <w:highlight w:val="none"/>
          <w:lang w:val="en-US" w:eastAsia="zh-CN" w:bidi="ar-SA"/>
        </w:rPr>
        <w:t>2.按照</w:t>
      </w:r>
      <w:r>
        <w:rPr>
          <w:rFonts w:hint="eastAsia" w:ascii="方正仿宋_GB2312" w:hAnsi="方正仿宋_GB2312" w:eastAsia="方正仿宋_GB2312" w:cs="方正仿宋_GB2312"/>
          <w:i w:val="0"/>
          <w:iCs w:val="0"/>
          <w:color w:val="000000"/>
          <w:kern w:val="0"/>
          <w:sz w:val="24"/>
          <w:szCs w:val="24"/>
          <w:u w:val="none"/>
          <w:lang w:val="en-US" w:eastAsia="zh-CN" w:bidi="ar"/>
        </w:rPr>
        <w:t>施工组织设计、专项施工方案、分项工程技术交底等有关技术文件的要求。</w:t>
      </w:r>
    </w:p>
    <w:p w14:paraId="5580533A">
      <w:pPr>
        <w:keepNext w:val="0"/>
        <w:keepLines w:val="0"/>
        <w:pageBreakBefore w:val="0"/>
        <w:kinsoku/>
        <w:wordWrap/>
        <w:overflowPunct/>
        <w:topLinePunct w:val="0"/>
        <w:bidi w:val="0"/>
        <w:snapToGrid/>
        <w:spacing w:line="360" w:lineRule="auto"/>
        <w:ind w:firstLine="480" w:firstLineChars="200"/>
        <w:textAlignment w:val="auto"/>
        <w:rPr>
          <w:rFonts w:hint="eastAsia" w:ascii="方正仿宋_GB2312" w:hAnsi="方正仿宋_GB2312" w:eastAsia="方正仿宋_GB2312" w:cs="方正仿宋_GB2312"/>
          <w:b w:val="0"/>
          <w:bCs w:val="0"/>
          <w:color w:val="auto"/>
          <w:kern w:val="0"/>
          <w:sz w:val="24"/>
          <w:szCs w:val="24"/>
          <w:highlight w:val="none"/>
          <w:lang w:val="en-US" w:eastAsia="zh-CN" w:bidi="ar-SA"/>
        </w:rPr>
      </w:pPr>
      <w:r>
        <w:rPr>
          <w:rFonts w:hint="eastAsia" w:ascii="方正仿宋_GB2312" w:hAnsi="方正仿宋_GB2312" w:eastAsia="方正仿宋_GB2312" w:cs="方正仿宋_GB2312"/>
          <w:b w:val="0"/>
          <w:bCs w:val="0"/>
          <w:color w:val="auto"/>
          <w:kern w:val="0"/>
          <w:sz w:val="24"/>
          <w:szCs w:val="24"/>
          <w:highlight w:val="none"/>
          <w:lang w:val="en-US" w:eastAsia="zh-CN" w:bidi="ar-SA"/>
        </w:rPr>
        <w:t>3.按照设计图纸、图纸会审、设计变更的要求。</w:t>
      </w:r>
    </w:p>
    <w:p w14:paraId="636F1429">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方正仿宋_GB2312" w:hAnsi="方正仿宋_GB2312" w:eastAsia="方正仿宋_GB2312" w:cs="方正仿宋_GB2312"/>
          <w:b/>
          <w:color w:val="auto"/>
          <w:kern w:val="0"/>
          <w:sz w:val="24"/>
          <w:szCs w:val="24"/>
          <w:highlight w:val="none"/>
          <w:lang w:val="en-US" w:eastAsia="zh-CN"/>
        </w:rPr>
      </w:pPr>
    </w:p>
    <w:p w14:paraId="42A7DC9A">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方正仿宋_GB2312" w:hAnsi="方正仿宋_GB2312" w:eastAsia="方正仿宋_GB2312" w:cs="方正仿宋_GB2312"/>
          <w:b/>
          <w:color w:val="auto"/>
          <w:kern w:val="0"/>
          <w:sz w:val="24"/>
          <w:szCs w:val="24"/>
          <w:highlight w:val="none"/>
          <w:lang w:val="en-US" w:eastAsia="zh-CN"/>
        </w:rPr>
      </w:pPr>
      <w:r>
        <w:rPr>
          <w:rFonts w:hint="eastAsia" w:ascii="方正仿宋_GB2312" w:hAnsi="方正仿宋_GB2312" w:eastAsia="方正仿宋_GB2312" w:cs="方正仿宋_GB2312"/>
          <w:b/>
          <w:color w:val="auto"/>
          <w:kern w:val="0"/>
          <w:sz w:val="24"/>
          <w:szCs w:val="24"/>
          <w:highlight w:val="none"/>
          <w:lang w:val="en-US" w:eastAsia="zh-CN"/>
        </w:rPr>
        <w:t>六、质量与验收要求</w:t>
      </w:r>
    </w:p>
    <w:p w14:paraId="0D86CD7D">
      <w:pPr>
        <w:spacing w:line="520" w:lineRule="exact"/>
        <w:ind w:left="16" w:leftChars="0" w:firstLine="460" w:firstLineChars="192"/>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应严格按照</w:t>
      </w:r>
      <w:r>
        <w:rPr>
          <w:rFonts w:hint="eastAsia" w:ascii="方正仿宋_GB2312" w:hAnsi="方正仿宋_GB2312" w:eastAsia="方正仿宋_GB2312" w:cs="方正仿宋_GB2312"/>
          <w:bCs/>
          <w:color w:val="auto"/>
          <w:sz w:val="24"/>
          <w:szCs w:val="24"/>
          <w:highlight w:val="none"/>
          <w:lang w:eastAsia="zh-CN"/>
        </w:rPr>
        <w:t>采购</w:t>
      </w:r>
      <w:r>
        <w:rPr>
          <w:rFonts w:hint="eastAsia" w:ascii="方正仿宋_GB2312" w:hAnsi="方正仿宋_GB2312" w:eastAsia="方正仿宋_GB2312" w:cs="方正仿宋_GB2312"/>
          <w:bCs/>
          <w:color w:val="auto"/>
          <w:sz w:val="24"/>
          <w:szCs w:val="24"/>
          <w:highlight w:val="none"/>
        </w:rPr>
        <w:t>文件、施工图纸、说明文件和国家、行业和广东省的</w:t>
      </w:r>
      <w:r>
        <w:rPr>
          <w:rFonts w:hint="eastAsia" w:ascii="方正仿宋_GB2312" w:hAnsi="方正仿宋_GB2312" w:eastAsia="方正仿宋_GB2312" w:cs="方正仿宋_GB2312"/>
          <w:color w:val="auto"/>
          <w:sz w:val="24"/>
          <w:szCs w:val="24"/>
          <w:highlight w:val="none"/>
          <w:u w:val="single"/>
        </w:rPr>
        <w:t>《</w:t>
      </w:r>
      <w:r>
        <w:rPr>
          <w:rFonts w:hint="eastAsia" w:ascii="方正仿宋_GB2312" w:hAnsi="方正仿宋_GB2312" w:eastAsia="方正仿宋_GB2312" w:cs="方正仿宋_GB2312"/>
          <w:color w:val="auto"/>
          <w:sz w:val="24"/>
          <w:szCs w:val="24"/>
          <w:highlight w:val="none"/>
          <w:u w:val="single"/>
          <w:lang w:val="en-US" w:eastAsia="zh-CN"/>
        </w:rPr>
        <w:t>公路桥涵</w:t>
      </w:r>
      <w:r>
        <w:rPr>
          <w:rFonts w:hint="eastAsia" w:ascii="方正仿宋_GB2312" w:hAnsi="方正仿宋_GB2312" w:eastAsia="方正仿宋_GB2312" w:cs="方正仿宋_GB2312"/>
          <w:color w:val="auto"/>
          <w:sz w:val="24"/>
          <w:szCs w:val="24"/>
          <w:highlight w:val="none"/>
          <w:u w:val="single"/>
        </w:rPr>
        <w:t>施工</w:t>
      </w:r>
      <w:r>
        <w:rPr>
          <w:rFonts w:hint="eastAsia" w:ascii="方正仿宋_GB2312" w:hAnsi="方正仿宋_GB2312" w:eastAsia="方正仿宋_GB2312" w:cs="方正仿宋_GB2312"/>
          <w:color w:val="auto"/>
          <w:sz w:val="24"/>
          <w:szCs w:val="24"/>
          <w:highlight w:val="none"/>
          <w:u w:val="single"/>
          <w:lang w:val="en-US" w:eastAsia="zh-CN"/>
        </w:rPr>
        <w:t>技术规范</w:t>
      </w:r>
      <w:r>
        <w:rPr>
          <w:rFonts w:hint="eastAsia" w:ascii="方正仿宋_GB2312" w:hAnsi="方正仿宋_GB2312" w:eastAsia="方正仿宋_GB2312" w:cs="方正仿宋_GB2312"/>
          <w:color w:val="auto"/>
          <w:sz w:val="24"/>
          <w:szCs w:val="24"/>
          <w:highlight w:val="none"/>
          <w:u w:val="single"/>
        </w:rPr>
        <w:t>》</w:t>
      </w:r>
      <w:r>
        <w:rPr>
          <w:rFonts w:hint="eastAsia" w:ascii="方正仿宋_GB2312" w:hAnsi="方正仿宋_GB2312" w:eastAsia="方正仿宋_GB2312" w:cs="方正仿宋_GB2312"/>
          <w:color w:val="auto"/>
          <w:sz w:val="24"/>
          <w:szCs w:val="24"/>
          <w:highlight w:val="none"/>
          <w:u w:val="single"/>
          <w:lang w:val="en-US" w:eastAsia="zh-CN"/>
        </w:rPr>
        <w:t>JTG\T</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3650</w:t>
      </w:r>
      <w:r>
        <w:rPr>
          <w:rFonts w:hint="eastAsia" w:ascii="方正仿宋_GB2312" w:hAnsi="方正仿宋_GB2312" w:eastAsia="方正仿宋_GB2312" w:cs="方正仿宋_GB2312"/>
          <w:color w:val="auto"/>
          <w:sz w:val="24"/>
          <w:szCs w:val="24"/>
          <w:highlight w:val="none"/>
          <w:u w:val="single"/>
        </w:rPr>
        <w:t>-20</w:t>
      </w:r>
      <w:r>
        <w:rPr>
          <w:rFonts w:hint="eastAsia" w:ascii="方正仿宋_GB2312" w:hAnsi="方正仿宋_GB2312" w:eastAsia="方正仿宋_GB2312" w:cs="方正仿宋_GB2312"/>
          <w:color w:val="auto"/>
          <w:sz w:val="24"/>
          <w:szCs w:val="24"/>
          <w:highlight w:val="none"/>
          <w:u w:val="single"/>
          <w:lang w:val="en-US" w:eastAsia="zh-CN"/>
        </w:rPr>
        <w:t>20</w:t>
      </w:r>
      <w:r>
        <w:rPr>
          <w:rFonts w:hint="eastAsia" w:ascii="方正仿宋_GB2312" w:hAnsi="方正仿宋_GB2312" w:eastAsia="方正仿宋_GB2312" w:cs="方正仿宋_GB2312"/>
          <w:color w:val="auto"/>
          <w:sz w:val="24"/>
          <w:szCs w:val="24"/>
          <w:highlight w:val="none"/>
          <w:u w:val="none"/>
          <w:lang w:val="en-US" w:eastAsia="zh-CN"/>
        </w:rPr>
        <w:t>工</w:t>
      </w:r>
      <w:r>
        <w:rPr>
          <w:rFonts w:hint="eastAsia" w:ascii="方正仿宋_GB2312" w:hAnsi="方正仿宋_GB2312" w:eastAsia="方正仿宋_GB2312" w:cs="方正仿宋_GB2312"/>
          <w:bCs/>
          <w:color w:val="auto"/>
          <w:sz w:val="24"/>
          <w:szCs w:val="24"/>
          <w:highlight w:val="none"/>
        </w:rPr>
        <w:t>程规范、规程和标准进行施工，并接受甲方现场代表及监理公司的监督。工程质量标准为：</w:t>
      </w:r>
      <w:r>
        <w:rPr>
          <w:rFonts w:hint="eastAsia" w:ascii="方正仿宋_GB2312" w:hAnsi="方正仿宋_GB2312" w:eastAsia="方正仿宋_GB2312" w:cs="方正仿宋_GB2312"/>
          <w:color w:val="auto"/>
          <w:sz w:val="24"/>
          <w:szCs w:val="24"/>
          <w:highlight w:val="none"/>
        </w:rPr>
        <w:t>中华人民共和国现行国家标准、国家工程质量验收标准：</w:t>
      </w:r>
      <w:r>
        <w:rPr>
          <w:rFonts w:hint="eastAsia" w:ascii="方正仿宋_GB2312" w:hAnsi="方正仿宋_GB2312" w:eastAsia="方正仿宋_GB2312" w:cs="方正仿宋_GB2312"/>
          <w:color w:val="auto"/>
          <w:sz w:val="24"/>
          <w:szCs w:val="24"/>
          <w:highlight w:val="none"/>
          <w:u w:val="single"/>
        </w:rPr>
        <w:t>达到“合格”或以上</w:t>
      </w:r>
      <w:r>
        <w:rPr>
          <w:rFonts w:hint="eastAsia" w:ascii="方正仿宋_GB2312" w:hAnsi="方正仿宋_GB2312" w:eastAsia="方正仿宋_GB2312" w:cs="方正仿宋_GB2312"/>
          <w:color w:val="auto"/>
          <w:sz w:val="24"/>
          <w:szCs w:val="24"/>
          <w:highlight w:val="none"/>
        </w:rPr>
        <w:t>，且需</w:t>
      </w:r>
      <w:r>
        <w:rPr>
          <w:rFonts w:hint="eastAsia" w:ascii="方正仿宋_GB2312" w:hAnsi="方正仿宋_GB2312" w:eastAsia="方正仿宋_GB2312" w:cs="方正仿宋_GB2312"/>
          <w:bCs/>
          <w:color w:val="auto"/>
          <w:sz w:val="24"/>
          <w:szCs w:val="24"/>
          <w:highlight w:val="none"/>
        </w:rPr>
        <w:t>满足甲方设计图纸需要和技术要求。工程质量验评定达不到约定的质量标准，由乙方付给甲方金额为合同总价10% 的违约金。合同工程中的任一分部或分项工程，乙方自检合格后，经监理单位预验收出现不合格视为乙方违约，乙方应采取相应措施在7日内整改至监理工程师验收合格。</w:t>
      </w:r>
    </w:p>
    <w:p w14:paraId="67865C5C">
      <w:pPr>
        <w:spacing w:line="480" w:lineRule="exact"/>
        <w:ind w:left="0" w:leftChars="0" w:firstLine="480" w:firstLineChars="200"/>
        <w:rPr>
          <w:rFonts w:hint="eastAsia" w:ascii="方正仿宋_GB2312" w:hAnsi="方正仿宋_GB2312" w:eastAsia="方正仿宋_GB2312" w:cs="方正仿宋_GB2312"/>
          <w:bCs/>
          <w:color w:val="auto"/>
          <w:sz w:val="24"/>
          <w:szCs w:val="24"/>
          <w:highlight w:val="none"/>
          <w:lang w:eastAsia="zh-CN"/>
        </w:rPr>
      </w:pPr>
      <w:r>
        <w:rPr>
          <w:rFonts w:hint="eastAsia" w:ascii="方正仿宋_GB2312" w:hAnsi="方正仿宋_GB2312" w:eastAsia="方正仿宋_GB2312" w:cs="方正仿宋_GB2312"/>
          <w:bCs/>
          <w:color w:val="auto"/>
          <w:sz w:val="24"/>
          <w:szCs w:val="24"/>
          <w:highlight w:val="none"/>
        </w:rPr>
        <w:t>验收的依据和标准：以甲</w:t>
      </w:r>
      <w:r>
        <w:rPr>
          <w:rFonts w:hint="eastAsia" w:ascii="方正仿宋_GB2312" w:hAnsi="方正仿宋_GB2312" w:eastAsia="方正仿宋_GB2312" w:cs="方正仿宋_GB2312"/>
          <w:bCs/>
          <w:color w:val="auto"/>
          <w:sz w:val="24"/>
          <w:szCs w:val="24"/>
          <w:highlight w:val="none"/>
          <w:lang w:eastAsia="zh-CN"/>
        </w:rPr>
        <w:t>、</w:t>
      </w:r>
      <w:r>
        <w:rPr>
          <w:rFonts w:hint="eastAsia" w:ascii="方正仿宋_GB2312" w:hAnsi="方正仿宋_GB2312" w:eastAsia="方正仿宋_GB2312" w:cs="方正仿宋_GB2312"/>
          <w:bCs/>
          <w:color w:val="auto"/>
          <w:sz w:val="24"/>
          <w:szCs w:val="24"/>
          <w:highlight w:val="none"/>
        </w:rPr>
        <w:t>乙双方确认的施工图纸及说明、施工技术文件，有关设计变更和技术交底及会议纪要，质量标准的评定以中华人民共和国现行国家标准、国家工程质量验收标准以及符合东莞市相关主管部门的规定为依据。验收方式：根据国家有关施工验收规范及甲方提出的相关技术指标要求，乙方提交工程验收资料，并向甲方提出验收申请，由监理单位（建设单位）按规范规定组织相关单位验收</w:t>
      </w:r>
      <w:r>
        <w:rPr>
          <w:rFonts w:hint="eastAsia" w:ascii="方正仿宋_GB2312" w:hAnsi="方正仿宋_GB2312" w:eastAsia="方正仿宋_GB2312" w:cs="方正仿宋_GB2312"/>
          <w:bCs/>
          <w:color w:val="auto"/>
          <w:sz w:val="24"/>
          <w:szCs w:val="24"/>
          <w:highlight w:val="none"/>
          <w:lang w:eastAsia="zh-CN"/>
        </w:rPr>
        <w:t>。</w:t>
      </w:r>
    </w:p>
    <w:p w14:paraId="2917E803">
      <w:pPr>
        <w:keepNext w:val="0"/>
        <w:keepLines w:val="0"/>
        <w:pageBreakBefore w:val="0"/>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方正仿宋_GB2312" w:hAnsi="方正仿宋_GB2312" w:eastAsia="方正仿宋_GB2312" w:cs="方正仿宋_GB2312"/>
          <w:b/>
          <w:color w:val="auto"/>
          <w:kern w:val="0"/>
          <w:sz w:val="24"/>
          <w:szCs w:val="24"/>
          <w:highlight w:val="none"/>
          <w:lang w:val="en-US" w:eastAsia="zh-CN"/>
        </w:rPr>
      </w:pPr>
    </w:p>
    <w:p w14:paraId="575C4CD0">
      <w:pPr>
        <w:keepNext w:val="0"/>
        <w:keepLines w:val="0"/>
        <w:pageBreakBefore w:val="0"/>
        <w:numPr>
          <w:ilvl w:val="0"/>
          <w:numId w:val="0"/>
        </w:numPr>
        <w:kinsoku/>
        <w:wordWrap/>
        <w:overflowPunct/>
        <w:topLinePunct w:val="0"/>
        <w:autoSpaceDE w:val="0"/>
        <w:autoSpaceDN w:val="0"/>
        <w:bidi w:val="0"/>
        <w:adjustRightInd w:val="0"/>
        <w:snapToGrid/>
        <w:spacing w:line="360" w:lineRule="auto"/>
        <w:jc w:val="left"/>
        <w:textAlignment w:val="auto"/>
        <w:rPr>
          <w:rFonts w:hint="eastAsia" w:ascii="方正仿宋_GB2312" w:hAnsi="方正仿宋_GB2312" w:eastAsia="方正仿宋_GB2312" w:cs="方正仿宋_GB2312"/>
          <w:b/>
          <w:bCs/>
          <w:color w:val="auto"/>
          <w:sz w:val="24"/>
          <w:szCs w:val="24"/>
          <w:highlight w:val="none"/>
          <w:lang w:val="en-US" w:eastAsia="zh-CN"/>
        </w:rPr>
      </w:pPr>
      <w:r>
        <w:rPr>
          <w:rFonts w:hint="eastAsia" w:ascii="方正仿宋_GB2312" w:hAnsi="方正仿宋_GB2312" w:eastAsia="方正仿宋_GB2312" w:cs="方正仿宋_GB2312"/>
          <w:b/>
          <w:bCs/>
          <w:color w:val="auto"/>
          <w:sz w:val="24"/>
          <w:szCs w:val="24"/>
          <w:highlight w:val="none"/>
          <w:lang w:val="en-US" w:eastAsia="zh-CN"/>
        </w:rPr>
        <w:t>七、安全要求</w:t>
      </w:r>
    </w:p>
    <w:p w14:paraId="062B238F">
      <w:pPr>
        <w:spacing w:line="520" w:lineRule="exact"/>
        <w:ind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lang w:val="en-US" w:eastAsia="zh-CN"/>
        </w:rPr>
        <w:t>1、</w:t>
      </w:r>
      <w:r>
        <w:rPr>
          <w:rFonts w:hint="eastAsia" w:ascii="方正仿宋_GB2312" w:hAnsi="方正仿宋_GB2312" w:eastAsia="方正仿宋_GB2312" w:cs="方正仿宋_GB2312"/>
          <w:bCs/>
          <w:color w:val="auto"/>
          <w:sz w:val="24"/>
          <w:szCs w:val="24"/>
          <w:highlight w:val="none"/>
        </w:rPr>
        <w:t>乙方应加强对施工作业人员施工安全教育培训，定期考核施工作业人员的劳动技能，加强施工安全管理</w:t>
      </w:r>
      <w:r>
        <w:rPr>
          <w:rFonts w:hint="eastAsia" w:ascii="方正仿宋_GB2312" w:hAnsi="方正仿宋_GB2312" w:eastAsia="方正仿宋_GB2312" w:cs="方正仿宋_GB2312"/>
          <w:bCs/>
          <w:color w:val="auto"/>
          <w:sz w:val="24"/>
          <w:szCs w:val="24"/>
          <w:highlight w:val="none"/>
          <w:lang w:eastAsia="zh-CN"/>
        </w:rPr>
        <w:t>，</w:t>
      </w:r>
      <w:r>
        <w:rPr>
          <w:rFonts w:hint="eastAsia" w:ascii="方正仿宋_GB2312" w:hAnsi="方正仿宋_GB2312" w:eastAsia="方正仿宋_GB2312" w:cs="方正仿宋_GB2312"/>
          <w:bCs/>
          <w:color w:val="auto"/>
          <w:sz w:val="24"/>
          <w:szCs w:val="24"/>
          <w:highlight w:val="none"/>
          <w:lang w:val="en-US" w:eastAsia="zh-CN"/>
        </w:rPr>
        <w:t>每日进行安全宣贯晨会，及时消除安全隐患，杜绝亡人事故发生</w:t>
      </w:r>
      <w:r>
        <w:rPr>
          <w:rFonts w:hint="eastAsia" w:ascii="方正仿宋_GB2312" w:hAnsi="方正仿宋_GB2312" w:eastAsia="方正仿宋_GB2312" w:cs="方正仿宋_GB2312"/>
          <w:bCs/>
          <w:color w:val="auto"/>
          <w:sz w:val="24"/>
          <w:szCs w:val="24"/>
          <w:highlight w:val="none"/>
        </w:rPr>
        <w:t>。</w:t>
      </w:r>
    </w:p>
    <w:p w14:paraId="23893775">
      <w:pPr>
        <w:spacing w:line="520" w:lineRule="exact"/>
        <w:ind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lang w:val="en-US" w:eastAsia="zh-CN"/>
        </w:rPr>
        <w:t>2</w:t>
      </w:r>
      <w:r>
        <w:rPr>
          <w:rFonts w:hint="eastAsia" w:ascii="方正仿宋_GB2312" w:hAnsi="方正仿宋_GB2312" w:eastAsia="方正仿宋_GB2312" w:cs="方正仿宋_GB2312"/>
          <w:bCs/>
          <w:color w:val="auto"/>
          <w:sz w:val="24"/>
          <w:szCs w:val="24"/>
          <w:highlight w:val="none"/>
        </w:rPr>
        <w:t>、乙方应对合同工程施工安全负责，严格执行国家、省有关施工安全的操作规程及管理要求，按照施工设计图纸和施工技术标准施工，确保合同工程质量和施工安全。</w:t>
      </w:r>
    </w:p>
    <w:p w14:paraId="2709AC70">
      <w:pPr>
        <w:spacing w:line="520" w:lineRule="exact"/>
        <w:ind w:firstLine="480" w:firstLineChars="200"/>
        <w:rPr>
          <w:rFonts w:hint="eastAsia" w:ascii="方正仿宋_GB2312" w:hAnsi="方正仿宋_GB2312" w:eastAsia="方正仿宋_GB2312" w:cs="方正仿宋_GB2312"/>
          <w:bCs/>
          <w:color w:val="auto"/>
          <w:sz w:val="24"/>
          <w:szCs w:val="24"/>
          <w:highlight w:val="none"/>
          <w:lang w:val="en-US" w:eastAsia="zh-CN"/>
        </w:rPr>
      </w:pPr>
      <w:r>
        <w:rPr>
          <w:rFonts w:hint="eastAsia" w:ascii="方正仿宋_GB2312" w:hAnsi="方正仿宋_GB2312" w:eastAsia="方正仿宋_GB2312" w:cs="方正仿宋_GB2312"/>
          <w:bCs/>
          <w:color w:val="auto"/>
          <w:sz w:val="24"/>
          <w:szCs w:val="24"/>
          <w:highlight w:val="none"/>
          <w:lang w:val="en-US" w:eastAsia="zh-CN"/>
        </w:rPr>
        <w:t>3</w:t>
      </w:r>
      <w:r>
        <w:rPr>
          <w:rFonts w:hint="eastAsia" w:ascii="方正仿宋_GB2312" w:hAnsi="方正仿宋_GB2312" w:eastAsia="方正仿宋_GB2312" w:cs="方正仿宋_GB2312"/>
          <w:bCs/>
          <w:color w:val="auto"/>
          <w:sz w:val="24"/>
          <w:szCs w:val="24"/>
          <w:highlight w:val="none"/>
        </w:rPr>
        <w:t>、乙方应及时执行监理工程师发出的安全文明施工的工作指令，并按合同约定的期限和安全文明施工内容编制安全文明施工措施计划，提交给监理工程师并由其报甲方批准后实施</w:t>
      </w:r>
      <w:r>
        <w:rPr>
          <w:rFonts w:hint="eastAsia" w:ascii="方正仿宋_GB2312" w:hAnsi="方正仿宋_GB2312" w:eastAsia="方正仿宋_GB2312" w:cs="方正仿宋_GB2312"/>
          <w:bCs/>
          <w:color w:val="auto"/>
          <w:sz w:val="24"/>
          <w:szCs w:val="24"/>
          <w:highlight w:val="none"/>
          <w:lang w:eastAsia="zh-CN"/>
        </w:rPr>
        <w:t>。</w:t>
      </w:r>
    </w:p>
    <w:p w14:paraId="4E4F2C93">
      <w:pPr>
        <w:keepNext w:val="0"/>
        <w:keepLines w:val="0"/>
        <w:pageBreakBefore w:val="0"/>
        <w:numPr>
          <w:ilvl w:val="0"/>
          <w:numId w:val="0"/>
        </w:numPr>
        <w:kinsoku/>
        <w:wordWrap/>
        <w:overflowPunct/>
        <w:topLinePunct w:val="0"/>
        <w:autoSpaceDE w:val="0"/>
        <w:autoSpaceDN w:val="0"/>
        <w:bidi w:val="0"/>
        <w:adjustRightInd w:val="0"/>
        <w:snapToGrid/>
        <w:spacing w:line="360" w:lineRule="auto"/>
        <w:ind w:leftChars="0"/>
        <w:jc w:val="left"/>
        <w:textAlignment w:val="auto"/>
        <w:rPr>
          <w:rFonts w:hint="eastAsia" w:ascii="方正仿宋_GB2312" w:hAnsi="方正仿宋_GB2312" w:eastAsia="方正仿宋_GB2312" w:cs="方正仿宋_GB2312"/>
          <w:b/>
          <w:bCs/>
          <w:color w:val="auto"/>
          <w:sz w:val="24"/>
          <w:szCs w:val="24"/>
          <w:highlight w:val="none"/>
          <w:lang w:val="en-US" w:eastAsia="zh-CN"/>
        </w:rPr>
      </w:pPr>
    </w:p>
    <w:p w14:paraId="1EE56761">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方正仿宋_GB2312" w:hAnsi="方正仿宋_GB2312" w:eastAsia="方正仿宋_GB2312" w:cs="方正仿宋_GB2312"/>
          <w:b/>
          <w:color w:val="auto"/>
          <w:kern w:val="0"/>
          <w:sz w:val="24"/>
          <w:szCs w:val="24"/>
          <w:highlight w:val="none"/>
          <w:lang w:val="en-US" w:eastAsia="zh-CN"/>
        </w:rPr>
      </w:pPr>
      <w:r>
        <w:rPr>
          <w:rFonts w:hint="eastAsia" w:ascii="方正仿宋_GB2312" w:hAnsi="方正仿宋_GB2312" w:eastAsia="方正仿宋_GB2312" w:cs="方正仿宋_GB2312"/>
          <w:b/>
          <w:color w:val="auto"/>
          <w:kern w:val="0"/>
          <w:sz w:val="24"/>
          <w:szCs w:val="24"/>
          <w:highlight w:val="none"/>
          <w:lang w:val="en-US" w:eastAsia="zh-CN"/>
        </w:rPr>
        <w:t>八、质保期要求</w:t>
      </w:r>
    </w:p>
    <w:p w14:paraId="31B8DA35">
      <w:pPr>
        <w:autoSpaceDE w:val="0"/>
        <w:autoSpaceDN w:val="0"/>
        <w:adjustRightInd w:val="0"/>
        <w:spacing w:line="360" w:lineRule="auto"/>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rPr>
        <w:t>1、本工程的保修期</w:t>
      </w:r>
      <w:r>
        <w:rPr>
          <w:rFonts w:hint="eastAsia" w:ascii="方正仿宋_GB2312" w:hAnsi="方正仿宋_GB2312" w:eastAsia="方正仿宋_GB2312" w:cs="方正仿宋_GB2312"/>
          <w:color w:val="auto"/>
          <w:sz w:val="24"/>
          <w:szCs w:val="24"/>
          <w:highlight w:val="none"/>
          <w:lang w:val="en-US" w:eastAsia="zh-CN"/>
        </w:rPr>
        <w:t>按：</w:t>
      </w:r>
    </w:p>
    <w:p w14:paraId="7ABD75EF">
      <w:pPr>
        <w:autoSpaceDE w:val="0"/>
        <w:autoSpaceDN w:val="0"/>
        <w:adjustRightInd w:val="0"/>
        <w:spacing w:line="360" w:lineRule="auto"/>
        <w:ind w:firstLine="480" w:firstLineChars="200"/>
        <w:rPr>
          <w:rFonts w:hint="eastAsia" w:ascii="方正仿宋_GB2312" w:hAnsi="方正仿宋_GB2312" w:eastAsia="方正仿宋_GB2312" w:cs="方正仿宋_GB2312"/>
          <w:caps/>
          <w:kern w:val="0"/>
          <w:szCs w:val="21"/>
        </w:rPr>
      </w:pPr>
      <w:r>
        <w:rPr>
          <w:rFonts w:hint="eastAsia" w:ascii="方正仿宋_GB2312" w:hAnsi="方正仿宋_GB2312" w:eastAsia="方正仿宋_GB2312" w:cs="方正仿宋_GB2312"/>
          <w:caps/>
          <w:kern w:val="0"/>
          <w:szCs w:val="21"/>
          <w:lang w:val="en-US" w:eastAsia="zh-CN"/>
        </w:rPr>
        <w:t>1.1</w:t>
      </w:r>
      <w:r>
        <w:rPr>
          <w:rFonts w:hint="eastAsia" w:ascii="方正仿宋_GB2312" w:hAnsi="方正仿宋_GB2312" w:eastAsia="方正仿宋_GB2312" w:cs="方正仿宋_GB2312"/>
          <w:caps/>
          <w:kern w:val="0"/>
          <w:szCs w:val="21"/>
        </w:rPr>
        <w:t xml:space="preserve">地基基础工程、主体结构工程为设计文件规定的合理使用年限； </w:t>
      </w:r>
    </w:p>
    <w:p w14:paraId="2ACC94DF">
      <w:pPr>
        <w:autoSpaceDE w:val="0"/>
        <w:autoSpaceDN w:val="0"/>
        <w:adjustRightInd w:val="0"/>
        <w:spacing w:line="360" w:lineRule="auto"/>
        <w:ind w:firstLine="480" w:firstLineChars="200"/>
        <w:rPr>
          <w:rFonts w:hint="eastAsia" w:ascii="方正仿宋_GB2312" w:hAnsi="方正仿宋_GB2312" w:eastAsia="方正仿宋_GB2312" w:cs="方正仿宋_GB2312"/>
          <w:caps/>
          <w:kern w:val="0"/>
          <w:szCs w:val="21"/>
        </w:rPr>
      </w:pPr>
      <w:r>
        <w:rPr>
          <w:rFonts w:hint="eastAsia" w:ascii="方正仿宋_GB2312" w:hAnsi="方正仿宋_GB2312" w:eastAsia="方正仿宋_GB2312" w:cs="方正仿宋_GB2312"/>
          <w:caps/>
          <w:kern w:val="0"/>
          <w:szCs w:val="21"/>
          <w:lang w:val="en-US" w:eastAsia="zh-CN"/>
        </w:rPr>
        <w:t>1.</w:t>
      </w:r>
      <w:r>
        <w:rPr>
          <w:rFonts w:hint="eastAsia" w:ascii="方正仿宋_GB2312" w:hAnsi="方正仿宋_GB2312" w:eastAsia="方正仿宋_GB2312" w:cs="方正仿宋_GB2312"/>
          <w:caps/>
          <w:kern w:val="0"/>
          <w:szCs w:val="21"/>
        </w:rPr>
        <w:t>2屋面防水工程、有防水要求的卫生间、房间和外墙面的防渗漏工程为</w:t>
      </w:r>
      <w:r>
        <w:rPr>
          <w:rFonts w:hint="eastAsia" w:ascii="方正仿宋_GB2312" w:hAnsi="方正仿宋_GB2312" w:eastAsia="方正仿宋_GB2312" w:cs="方正仿宋_GB2312"/>
          <w:caps/>
          <w:kern w:val="0"/>
          <w:szCs w:val="21"/>
          <w:u w:val="single"/>
        </w:rPr>
        <w:t xml:space="preserve">  5  </w:t>
      </w:r>
      <w:r>
        <w:rPr>
          <w:rFonts w:hint="eastAsia" w:ascii="方正仿宋_GB2312" w:hAnsi="方正仿宋_GB2312" w:eastAsia="方正仿宋_GB2312" w:cs="方正仿宋_GB2312"/>
          <w:caps/>
          <w:kern w:val="0"/>
          <w:szCs w:val="21"/>
        </w:rPr>
        <w:t xml:space="preserve">年； </w:t>
      </w:r>
    </w:p>
    <w:p w14:paraId="75DAC623">
      <w:pPr>
        <w:autoSpaceDE w:val="0"/>
        <w:autoSpaceDN w:val="0"/>
        <w:adjustRightInd w:val="0"/>
        <w:spacing w:line="360" w:lineRule="auto"/>
        <w:ind w:firstLine="480" w:firstLineChars="200"/>
        <w:rPr>
          <w:rFonts w:hint="eastAsia" w:ascii="方正仿宋_GB2312" w:hAnsi="方正仿宋_GB2312" w:eastAsia="方正仿宋_GB2312" w:cs="方正仿宋_GB2312"/>
          <w:caps/>
          <w:kern w:val="0"/>
          <w:szCs w:val="21"/>
        </w:rPr>
      </w:pPr>
      <w:r>
        <w:rPr>
          <w:rFonts w:hint="eastAsia" w:ascii="方正仿宋_GB2312" w:hAnsi="方正仿宋_GB2312" w:eastAsia="方正仿宋_GB2312" w:cs="方正仿宋_GB2312"/>
          <w:caps/>
          <w:kern w:val="0"/>
          <w:szCs w:val="21"/>
          <w:lang w:val="en-US" w:eastAsia="zh-CN"/>
        </w:rPr>
        <w:t>1.</w:t>
      </w:r>
      <w:r>
        <w:rPr>
          <w:rFonts w:hint="eastAsia" w:ascii="方正仿宋_GB2312" w:hAnsi="方正仿宋_GB2312" w:eastAsia="方正仿宋_GB2312" w:cs="方正仿宋_GB2312"/>
          <w:caps/>
          <w:kern w:val="0"/>
          <w:szCs w:val="21"/>
        </w:rPr>
        <w:t>3电气管线工程、给排水管道工程、设备安装工程为</w:t>
      </w:r>
      <w:r>
        <w:rPr>
          <w:rFonts w:hint="eastAsia" w:ascii="方正仿宋_GB2312" w:hAnsi="方正仿宋_GB2312" w:eastAsia="方正仿宋_GB2312" w:cs="方正仿宋_GB2312"/>
          <w:caps/>
          <w:kern w:val="0"/>
          <w:szCs w:val="21"/>
          <w:u w:val="single"/>
        </w:rPr>
        <w:t xml:space="preserve">  2  </w:t>
      </w:r>
      <w:r>
        <w:rPr>
          <w:rFonts w:hint="eastAsia" w:ascii="方正仿宋_GB2312" w:hAnsi="方正仿宋_GB2312" w:eastAsia="方正仿宋_GB2312" w:cs="方正仿宋_GB2312"/>
          <w:caps/>
          <w:kern w:val="0"/>
          <w:szCs w:val="21"/>
        </w:rPr>
        <w:t xml:space="preserve">年； </w:t>
      </w:r>
    </w:p>
    <w:p w14:paraId="1235AF8C">
      <w:pPr>
        <w:autoSpaceDE w:val="0"/>
        <w:autoSpaceDN w:val="0"/>
        <w:adjustRightInd w:val="0"/>
        <w:spacing w:line="360" w:lineRule="auto"/>
        <w:ind w:firstLine="480" w:firstLineChars="200"/>
        <w:rPr>
          <w:rFonts w:hint="eastAsia" w:ascii="方正仿宋_GB2312" w:hAnsi="方正仿宋_GB2312" w:eastAsia="方正仿宋_GB2312" w:cs="方正仿宋_GB2312"/>
          <w:caps/>
          <w:kern w:val="0"/>
          <w:szCs w:val="21"/>
        </w:rPr>
      </w:pPr>
      <w:r>
        <w:rPr>
          <w:rFonts w:hint="eastAsia" w:ascii="方正仿宋_GB2312" w:hAnsi="方正仿宋_GB2312" w:eastAsia="方正仿宋_GB2312" w:cs="方正仿宋_GB2312"/>
          <w:caps/>
          <w:kern w:val="0"/>
          <w:szCs w:val="21"/>
          <w:lang w:val="en-US" w:eastAsia="zh-CN"/>
        </w:rPr>
        <w:t>1.</w:t>
      </w:r>
      <w:r>
        <w:rPr>
          <w:rFonts w:hint="eastAsia" w:ascii="方正仿宋_GB2312" w:hAnsi="方正仿宋_GB2312" w:eastAsia="方正仿宋_GB2312" w:cs="方正仿宋_GB2312"/>
          <w:caps/>
          <w:kern w:val="0"/>
          <w:szCs w:val="21"/>
        </w:rPr>
        <w:t>4供热、供冷系统工程为</w:t>
      </w:r>
      <w:r>
        <w:rPr>
          <w:rFonts w:hint="eastAsia" w:ascii="方正仿宋_GB2312" w:hAnsi="方正仿宋_GB2312" w:eastAsia="方正仿宋_GB2312" w:cs="方正仿宋_GB2312"/>
          <w:caps/>
          <w:kern w:val="0"/>
          <w:szCs w:val="21"/>
          <w:u w:val="single"/>
        </w:rPr>
        <w:t xml:space="preserve">  2  </w:t>
      </w:r>
      <w:r>
        <w:rPr>
          <w:rFonts w:hint="eastAsia" w:ascii="方正仿宋_GB2312" w:hAnsi="方正仿宋_GB2312" w:eastAsia="方正仿宋_GB2312" w:cs="方正仿宋_GB2312"/>
          <w:caps/>
          <w:kern w:val="0"/>
          <w:szCs w:val="21"/>
        </w:rPr>
        <w:t xml:space="preserve">个采暖期、供冷期； </w:t>
      </w:r>
    </w:p>
    <w:p w14:paraId="134D8DB2">
      <w:pPr>
        <w:autoSpaceDE w:val="0"/>
        <w:autoSpaceDN w:val="0"/>
        <w:adjustRightInd w:val="0"/>
        <w:spacing w:line="360" w:lineRule="auto"/>
        <w:ind w:firstLine="480" w:firstLineChars="200"/>
        <w:rPr>
          <w:rFonts w:hint="eastAsia" w:ascii="方正仿宋_GB2312" w:hAnsi="方正仿宋_GB2312" w:eastAsia="方正仿宋_GB2312" w:cs="方正仿宋_GB2312"/>
          <w:caps/>
          <w:kern w:val="0"/>
          <w:szCs w:val="21"/>
        </w:rPr>
      </w:pPr>
      <w:r>
        <w:rPr>
          <w:rFonts w:hint="eastAsia" w:ascii="方正仿宋_GB2312" w:hAnsi="方正仿宋_GB2312" w:eastAsia="方正仿宋_GB2312" w:cs="方正仿宋_GB2312"/>
          <w:caps/>
          <w:kern w:val="0"/>
          <w:szCs w:val="21"/>
          <w:lang w:val="en-US" w:eastAsia="zh-CN"/>
        </w:rPr>
        <w:t>1.</w:t>
      </w:r>
      <w:r>
        <w:rPr>
          <w:rFonts w:hint="eastAsia" w:ascii="方正仿宋_GB2312" w:hAnsi="方正仿宋_GB2312" w:eastAsia="方正仿宋_GB2312" w:cs="方正仿宋_GB2312"/>
          <w:caps/>
          <w:kern w:val="0"/>
          <w:szCs w:val="21"/>
        </w:rPr>
        <w:t>5装饰装修工程为</w:t>
      </w:r>
      <w:r>
        <w:rPr>
          <w:rFonts w:hint="eastAsia" w:ascii="方正仿宋_GB2312" w:hAnsi="方正仿宋_GB2312" w:eastAsia="方正仿宋_GB2312" w:cs="方正仿宋_GB2312"/>
          <w:caps/>
          <w:kern w:val="0"/>
          <w:szCs w:val="21"/>
          <w:u w:val="single"/>
        </w:rPr>
        <w:t xml:space="preserve">  2  </w:t>
      </w:r>
      <w:r>
        <w:rPr>
          <w:rFonts w:hint="eastAsia" w:ascii="方正仿宋_GB2312" w:hAnsi="方正仿宋_GB2312" w:eastAsia="方正仿宋_GB2312" w:cs="方正仿宋_GB2312"/>
          <w:caps/>
          <w:kern w:val="0"/>
          <w:szCs w:val="21"/>
        </w:rPr>
        <w:t xml:space="preserve">年； </w:t>
      </w:r>
    </w:p>
    <w:p w14:paraId="6A4A1014">
      <w:pPr>
        <w:autoSpaceDE w:val="0"/>
        <w:autoSpaceDN w:val="0"/>
        <w:adjustRightInd w:val="0"/>
        <w:spacing w:line="360" w:lineRule="auto"/>
        <w:ind w:firstLine="480" w:firstLineChars="200"/>
        <w:rPr>
          <w:rFonts w:hint="eastAsia" w:ascii="方正仿宋_GB2312" w:hAnsi="方正仿宋_GB2312" w:eastAsia="方正仿宋_GB2312" w:cs="方正仿宋_GB2312"/>
          <w:caps/>
          <w:kern w:val="0"/>
          <w:szCs w:val="21"/>
        </w:rPr>
      </w:pPr>
      <w:r>
        <w:rPr>
          <w:rFonts w:hint="eastAsia" w:ascii="方正仿宋_GB2312" w:hAnsi="方正仿宋_GB2312" w:eastAsia="方正仿宋_GB2312" w:cs="方正仿宋_GB2312"/>
          <w:caps/>
          <w:kern w:val="0"/>
          <w:szCs w:val="21"/>
          <w:lang w:val="en-US" w:eastAsia="zh-CN"/>
        </w:rPr>
        <w:t>1.</w:t>
      </w:r>
      <w:r>
        <w:rPr>
          <w:rFonts w:hint="eastAsia" w:ascii="方正仿宋_GB2312" w:hAnsi="方正仿宋_GB2312" w:eastAsia="方正仿宋_GB2312" w:cs="方正仿宋_GB2312"/>
          <w:caps/>
          <w:kern w:val="0"/>
          <w:szCs w:val="21"/>
        </w:rPr>
        <w:t>6绿化工程为</w:t>
      </w:r>
      <w:r>
        <w:rPr>
          <w:rFonts w:hint="eastAsia" w:ascii="方正仿宋_GB2312" w:hAnsi="方正仿宋_GB2312" w:eastAsia="方正仿宋_GB2312" w:cs="方正仿宋_GB2312"/>
          <w:caps/>
          <w:kern w:val="0"/>
          <w:szCs w:val="21"/>
          <w:u w:val="single"/>
        </w:rPr>
        <w:t xml:space="preserve">  12个月(</w:t>
      </w:r>
      <w:r>
        <w:rPr>
          <w:rFonts w:hint="eastAsia" w:ascii="方正仿宋_GB2312" w:hAnsi="方正仿宋_GB2312" w:eastAsia="方正仿宋_GB2312" w:cs="方正仿宋_GB2312"/>
          <w:caps/>
          <w:szCs w:val="21"/>
          <w:u w:val="single"/>
        </w:rPr>
        <w:t>从验收合格之日起)</w:t>
      </w:r>
      <w:r>
        <w:rPr>
          <w:rFonts w:hint="eastAsia" w:ascii="方正仿宋_GB2312" w:hAnsi="方正仿宋_GB2312" w:eastAsia="方正仿宋_GB2312" w:cs="方正仿宋_GB2312"/>
          <w:caps/>
          <w:kern w:val="0"/>
          <w:szCs w:val="21"/>
          <w:u w:val="single"/>
        </w:rPr>
        <w:t xml:space="preserve">  </w:t>
      </w:r>
      <w:r>
        <w:rPr>
          <w:rFonts w:hint="eastAsia" w:ascii="方正仿宋_GB2312" w:hAnsi="方正仿宋_GB2312" w:eastAsia="方正仿宋_GB2312" w:cs="方正仿宋_GB2312"/>
          <w:caps/>
          <w:kern w:val="0"/>
          <w:szCs w:val="21"/>
        </w:rPr>
        <w:t>；</w:t>
      </w:r>
    </w:p>
    <w:p w14:paraId="0B8943BD">
      <w:pPr>
        <w:autoSpaceDE w:val="0"/>
        <w:autoSpaceDN w:val="0"/>
        <w:adjustRightInd w:val="0"/>
        <w:spacing w:line="360" w:lineRule="auto"/>
        <w:ind w:firstLine="480" w:firstLineChars="200"/>
        <w:rPr>
          <w:rFonts w:hint="eastAsia" w:ascii="宋体" w:hAnsi="宋体" w:cs="宋体"/>
          <w:caps/>
          <w:kern w:val="0"/>
          <w:szCs w:val="21"/>
        </w:rPr>
      </w:pPr>
      <w:r>
        <w:rPr>
          <w:rFonts w:hint="eastAsia" w:ascii="方正仿宋_GB2312" w:hAnsi="方正仿宋_GB2312" w:eastAsia="方正仿宋_GB2312" w:cs="方正仿宋_GB2312"/>
          <w:caps/>
          <w:kern w:val="0"/>
          <w:szCs w:val="21"/>
          <w:lang w:val="en-US" w:eastAsia="zh-CN"/>
        </w:rPr>
        <w:t>1.7</w:t>
      </w:r>
      <w:r>
        <w:rPr>
          <w:rFonts w:hint="eastAsia" w:ascii="方正仿宋_GB2312" w:hAnsi="方正仿宋_GB2312" w:eastAsia="方正仿宋_GB2312" w:cs="方正仿宋_GB2312"/>
          <w:caps/>
          <w:kern w:val="0"/>
          <w:szCs w:val="21"/>
        </w:rPr>
        <w:t>其他项目</w:t>
      </w:r>
      <w:r>
        <w:rPr>
          <w:rFonts w:hint="eastAsia" w:ascii="方正仿宋_GB2312" w:hAnsi="方正仿宋_GB2312" w:eastAsia="方正仿宋_GB2312" w:cs="方正仿宋_GB2312"/>
          <w:caps/>
          <w:kern w:val="0"/>
          <w:szCs w:val="21"/>
          <w:u w:val="single"/>
        </w:rPr>
        <w:t xml:space="preserve"> </w:t>
      </w:r>
      <w:r>
        <w:rPr>
          <w:rFonts w:hint="eastAsia" w:ascii="方正仿宋_GB2312" w:hAnsi="方正仿宋_GB2312" w:eastAsia="方正仿宋_GB2312" w:cs="方正仿宋_GB2312"/>
          <w:kern w:val="0"/>
          <w:szCs w:val="21"/>
          <w:u w:val="single"/>
        </w:rPr>
        <w:t>按照国家《建设工程质量管理条例》执行，但不得少于两</w:t>
      </w:r>
      <w:r>
        <w:rPr>
          <w:rFonts w:hint="eastAsia" w:ascii="方正仿宋_GB2312" w:hAnsi="方正仿宋_GB2312" w:eastAsia="方正仿宋_GB2312" w:cs="方正仿宋_GB2312"/>
          <w:caps/>
          <w:kern w:val="0"/>
          <w:szCs w:val="21"/>
          <w:u w:val="single"/>
        </w:rPr>
        <w:t>年</w:t>
      </w:r>
      <w:r>
        <w:rPr>
          <w:rFonts w:hint="eastAsia" w:ascii="方正仿宋_GB2312" w:hAnsi="方正仿宋_GB2312" w:eastAsia="方正仿宋_GB2312" w:cs="方正仿宋_GB2312"/>
          <w:caps/>
          <w:kern w:val="0"/>
          <w:szCs w:val="21"/>
        </w:rPr>
        <w:t>。</w:t>
      </w:r>
      <w:r>
        <w:rPr>
          <w:rFonts w:ascii="宋体" w:hAnsi="宋体" w:cs="宋体"/>
          <w:caps/>
          <w:kern w:val="0"/>
          <w:szCs w:val="21"/>
        </w:rPr>
        <w:t xml:space="preserve"> </w:t>
      </w:r>
    </w:p>
    <w:p w14:paraId="6345568A">
      <w:pPr>
        <w:spacing w:line="48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保修期自工程竣工验收合格(包括工程竣工验收[即政府质监部门备案的工程竣工质量报告]（如需）、工程竣工四方验收，并以该两份文件所标示的最后日期为基准)并移交甲方之日起计算。</w:t>
      </w:r>
    </w:p>
    <w:p w14:paraId="39B227B9">
      <w:pPr>
        <w:keepNext w:val="0"/>
        <w:keepLines w:val="0"/>
        <w:pageBreakBefore w:val="0"/>
        <w:kinsoku/>
        <w:wordWrap/>
        <w:overflowPunct/>
        <w:topLinePunct w:val="0"/>
        <w:autoSpaceDE w:val="0"/>
        <w:autoSpaceDN w:val="0"/>
        <w:bidi w:val="0"/>
        <w:adjustRightInd w:val="0"/>
        <w:snapToGrid/>
        <w:spacing w:line="360" w:lineRule="auto"/>
        <w:ind w:firstLine="482" w:firstLineChars="201"/>
        <w:jc w:val="left"/>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2、保修期内，乙方必须及时处理甲方提出的质量问题，凡因乙方施工造成的质量问题，乙方自甲方通知送达之日起</w:t>
      </w:r>
      <w:r>
        <w:rPr>
          <w:rFonts w:hint="eastAsia" w:ascii="方正仿宋_GB2312" w:hAnsi="方正仿宋_GB2312" w:eastAsia="方正仿宋_GB2312" w:cs="方正仿宋_GB2312"/>
          <w:color w:val="auto"/>
          <w:sz w:val="24"/>
          <w:szCs w:val="24"/>
          <w:highlight w:val="none"/>
          <w:u w:val="single"/>
        </w:rPr>
        <w:t xml:space="preserve"> 7  </w:t>
      </w:r>
      <w:r>
        <w:rPr>
          <w:rFonts w:hint="eastAsia" w:ascii="方正仿宋_GB2312" w:hAnsi="方正仿宋_GB2312" w:eastAsia="方正仿宋_GB2312" w:cs="方正仿宋_GB2312"/>
          <w:color w:val="auto"/>
          <w:sz w:val="24"/>
          <w:szCs w:val="24"/>
          <w:highlight w:val="none"/>
        </w:rPr>
        <w:t>日内，应无条件予以维修完毕。否则，甲方有权另派施工队伍施工、维修，一切费用在保修金内扣除，超出保修金的部分，甲方有权向乙方追偿。</w:t>
      </w:r>
    </w:p>
    <w:p w14:paraId="0EA27F54">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方正仿宋_GB2312" w:hAnsi="方正仿宋_GB2312" w:eastAsia="方正仿宋_GB2312" w:cs="方正仿宋_GB2312"/>
          <w:b/>
          <w:bCs/>
          <w:color w:val="auto"/>
          <w:sz w:val="24"/>
          <w:szCs w:val="24"/>
          <w:highlight w:val="none"/>
          <w:lang w:val="en-US" w:eastAsia="zh-CN"/>
        </w:rPr>
      </w:pPr>
      <w:r>
        <w:rPr>
          <w:rFonts w:hint="eastAsia" w:ascii="方正仿宋_GB2312" w:hAnsi="方正仿宋_GB2312" w:eastAsia="方正仿宋_GB2312" w:cs="方正仿宋_GB2312"/>
          <w:b/>
          <w:bCs/>
          <w:color w:val="auto"/>
          <w:sz w:val="24"/>
          <w:szCs w:val="24"/>
          <w:highlight w:val="none"/>
          <w:lang w:val="en-US" w:eastAsia="zh-CN"/>
        </w:rPr>
        <w:t>九、结算原则：</w:t>
      </w:r>
    </w:p>
    <w:p w14:paraId="39C42760">
      <w:pPr>
        <w:numPr>
          <w:ilvl w:val="0"/>
          <w:numId w:val="0"/>
        </w:numPr>
        <w:tabs>
          <w:tab w:val="left" w:pos="7560"/>
        </w:tabs>
        <w:spacing w:line="360" w:lineRule="auto"/>
        <w:ind w:left="0" w:leftChars="0" w:firstLine="480" w:firstLineChars="200"/>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b w:val="0"/>
          <w:bCs w:val="0"/>
          <w:color w:val="auto"/>
          <w:kern w:val="0"/>
          <w:sz w:val="24"/>
          <w:szCs w:val="24"/>
          <w:lang w:val="en-US" w:eastAsia="zh-CN"/>
        </w:rPr>
        <w:t xml:space="preserve">1、 </w:t>
      </w:r>
      <w:r>
        <w:rPr>
          <w:rFonts w:hint="eastAsia" w:ascii="方正仿宋_GB2312" w:hAnsi="方正仿宋_GB2312" w:eastAsia="方正仿宋_GB2312" w:cs="方正仿宋_GB2312"/>
          <w:color w:val="auto"/>
          <w:kern w:val="0"/>
          <w:sz w:val="24"/>
          <w:szCs w:val="24"/>
          <w:lang w:val="en-US" w:eastAsia="zh-CN"/>
        </w:rPr>
        <w:t>固定单价合同，工程结算价=中标单价×经双方确认的工程量+签证变更金额，最终结算价以</w:t>
      </w:r>
      <w:r>
        <w:rPr>
          <w:rFonts w:hint="eastAsia" w:ascii="方正仿宋_GB2312" w:hAnsi="方正仿宋_GB2312" w:eastAsia="方正仿宋_GB2312" w:cs="方正仿宋_GB2312"/>
          <w:color w:val="auto"/>
          <w:kern w:val="0"/>
          <w:sz w:val="24"/>
          <w:szCs w:val="24"/>
        </w:rPr>
        <w:t>采购人</w:t>
      </w:r>
      <w:r>
        <w:rPr>
          <w:rFonts w:hint="eastAsia" w:ascii="方正仿宋_GB2312" w:hAnsi="方正仿宋_GB2312" w:eastAsia="方正仿宋_GB2312" w:cs="方正仿宋_GB2312"/>
          <w:color w:val="auto"/>
          <w:kern w:val="0"/>
          <w:sz w:val="24"/>
          <w:szCs w:val="24"/>
          <w:lang w:val="en-US" w:eastAsia="zh-CN"/>
        </w:rPr>
        <w:t>审核为准。</w:t>
      </w:r>
    </w:p>
    <w:p w14:paraId="65CE2A57">
      <w:pPr>
        <w:numPr>
          <w:ilvl w:val="0"/>
          <w:numId w:val="0"/>
        </w:numPr>
        <w:tabs>
          <w:tab w:val="left" w:pos="7560"/>
        </w:tabs>
        <w:spacing w:line="360" w:lineRule="auto"/>
        <w:ind w:left="0" w:leftChars="0" w:firstLine="480" w:firstLineChars="200"/>
        <w:rPr>
          <w:rFonts w:hint="eastAsia" w:ascii="方正仿宋_GB2312" w:hAnsi="方正仿宋_GB2312" w:eastAsia="方正仿宋_GB2312" w:cs="方正仿宋_GB2312"/>
          <w:b w:val="0"/>
          <w:bCs w:val="0"/>
          <w:color w:val="auto"/>
          <w:kern w:val="0"/>
          <w:sz w:val="24"/>
          <w:szCs w:val="24"/>
          <w:lang w:val="en-US" w:eastAsia="zh-CN"/>
        </w:rPr>
      </w:pPr>
      <w:r>
        <w:rPr>
          <w:rFonts w:hint="eastAsia" w:ascii="方正仿宋_GB2312" w:hAnsi="方正仿宋_GB2312" w:eastAsia="方正仿宋_GB2312" w:cs="方正仿宋_GB2312"/>
          <w:b w:val="0"/>
          <w:bCs w:val="0"/>
          <w:color w:val="auto"/>
          <w:kern w:val="0"/>
          <w:sz w:val="24"/>
          <w:szCs w:val="24"/>
          <w:lang w:val="en-US" w:eastAsia="zh-CN"/>
        </w:rPr>
        <w:t>2 、本工程合同总价包含完成本工程所需的全部费用，包括且不限于所需的</w:t>
      </w:r>
      <w:r>
        <w:rPr>
          <w:rFonts w:hint="eastAsia" w:ascii="方正仿宋_GB2312" w:hAnsi="方正仿宋_GB2312" w:eastAsia="方正仿宋_GB2312" w:cs="方正仿宋_GB2312"/>
          <w:bCs/>
          <w:color w:val="auto"/>
          <w:sz w:val="24"/>
          <w:szCs w:val="24"/>
          <w:highlight w:val="none"/>
          <w:lang w:val="en-US" w:eastAsia="zh-CN"/>
        </w:rPr>
        <w:t>劳务、材料、水费、电费、人员住宿费、人员伙食费、人员办公场地费、乙方自有机械机具的进退场费、成品维护费、安全文明施工费、场地清理费、</w:t>
      </w:r>
      <w:r>
        <w:rPr>
          <w:rFonts w:hint="eastAsia" w:ascii="方正仿宋_GB2312" w:hAnsi="方正仿宋_GB2312" w:eastAsia="方正仿宋_GB2312" w:cs="方正仿宋_GB2312"/>
          <w:bCs/>
          <w:color w:val="FF0000"/>
          <w:sz w:val="24"/>
          <w:szCs w:val="24"/>
          <w:highlight w:val="none"/>
          <w:lang w:val="en-US" w:eastAsia="zh-CN"/>
        </w:rPr>
        <w:t>包干费（施工过程中可能发生的零星工作、技术措施或不可预见的情况所产生的费用）</w:t>
      </w:r>
      <w:r>
        <w:rPr>
          <w:rFonts w:hint="eastAsia" w:ascii="方正仿宋_GB2312" w:hAnsi="方正仿宋_GB2312" w:eastAsia="方正仿宋_GB2312" w:cs="方正仿宋_GB2312"/>
          <w:bCs/>
          <w:color w:val="auto"/>
          <w:sz w:val="24"/>
          <w:szCs w:val="24"/>
          <w:highlight w:val="none"/>
          <w:lang w:val="en-US" w:eastAsia="zh-CN"/>
        </w:rPr>
        <w:t>、管理费、利润、税金及政策性文件规定的各项应有费用及采购文件明示或暗示的所有一切风险、责任和义务的费用</w:t>
      </w:r>
      <w:r>
        <w:rPr>
          <w:rFonts w:hint="eastAsia" w:ascii="方正仿宋_GB2312" w:hAnsi="方正仿宋_GB2312" w:eastAsia="方正仿宋_GB2312" w:cs="方正仿宋_GB2312"/>
          <w:b w:val="0"/>
          <w:bCs w:val="0"/>
          <w:color w:val="auto"/>
          <w:kern w:val="0"/>
          <w:sz w:val="24"/>
          <w:szCs w:val="24"/>
          <w:lang w:val="en-US" w:eastAsia="zh-CN"/>
        </w:rPr>
        <w:t>。总价</w:t>
      </w:r>
      <w:r>
        <w:rPr>
          <w:rFonts w:hint="eastAsia" w:ascii="方正仿宋_GB2312" w:hAnsi="方正仿宋_GB2312" w:eastAsia="方正仿宋_GB2312" w:cs="方正仿宋_GB2312"/>
          <w:bCs/>
          <w:color w:val="auto"/>
          <w:sz w:val="24"/>
          <w:szCs w:val="24"/>
          <w:highlight w:val="none"/>
          <w:lang w:val="en-US" w:eastAsia="zh-CN"/>
        </w:rPr>
        <w:t>均已包含下道工序的预埋件防锈处理（若需）及安装。</w:t>
      </w:r>
    </w:p>
    <w:p w14:paraId="659F3403">
      <w:pPr>
        <w:numPr>
          <w:ilvl w:val="0"/>
          <w:numId w:val="0"/>
        </w:numPr>
        <w:tabs>
          <w:tab w:val="left" w:pos="7560"/>
        </w:tabs>
        <w:spacing w:line="360" w:lineRule="auto"/>
        <w:ind w:left="0" w:leftChars="0" w:firstLine="480" w:firstLineChars="200"/>
        <w:rPr>
          <w:rFonts w:hint="eastAsia" w:ascii="方正仿宋_GB2312" w:hAnsi="方正仿宋_GB2312" w:eastAsia="方正仿宋_GB2312" w:cs="方正仿宋_GB2312"/>
          <w:b w:val="0"/>
          <w:bCs w:val="0"/>
          <w:color w:val="auto"/>
          <w:kern w:val="0"/>
          <w:sz w:val="24"/>
          <w:szCs w:val="24"/>
          <w:lang w:val="en-US" w:eastAsia="zh-CN"/>
        </w:rPr>
      </w:pPr>
      <w:r>
        <w:rPr>
          <w:rFonts w:hint="eastAsia" w:ascii="方正仿宋_GB2312" w:hAnsi="方正仿宋_GB2312" w:eastAsia="方正仿宋_GB2312" w:cs="方正仿宋_GB2312"/>
          <w:b w:val="0"/>
          <w:bCs w:val="0"/>
          <w:color w:val="auto"/>
          <w:kern w:val="0"/>
          <w:sz w:val="24"/>
          <w:szCs w:val="24"/>
          <w:lang w:val="en-US" w:eastAsia="zh-CN"/>
        </w:rPr>
        <w:t>3、中标人现场住宿、办公场所由中标人自行安排，采购人不另行安排。中标人自行承担生活水电费用，</w:t>
      </w:r>
      <w:r>
        <w:rPr>
          <w:rFonts w:hint="eastAsia" w:ascii="方正仿宋_GB2312" w:hAnsi="方正仿宋_GB2312" w:eastAsia="方正仿宋_GB2312" w:cs="方正仿宋_GB2312"/>
          <w:b w:val="0"/>
          <w:bCs w:val="0"/>
          <w:color w:val="auto"/>
          <w:kern w:val="0"/>
          <w:sz w:val="24"/>
          <w:szCs w:val="24"/>
          <w:highlight w:val="none"/>
          <w:lang w:val="en-US" w:eastAsia="zh-CN"/>
        </w:rPr>
        <w:t>施工用水用电费</w:t>
      </w:r>
      <w:r>
        <w:rPr>
          <w:rFonts w:hint="eastAsia" w:ascii="方正仿宋_GB2312" w:hAnsi="方正仿宋_GB2312" w:eastAsia="方正仿宋_GB2312" w:cs="方正仿宋_GB2312"/>
          <w:b w:val="0"/>
          <w:bCs w:val="0"/>
          <w:color w:val="FF0000"/>
          <w:kern w:val="0"/>
          <w:sz w:val="24"/>
          <w:szCs w:val="24"/>
          <w:highlight w:val="none"/>
          <w:lang w:val="en-US" w:eastAsia="zh-CN"/>
        </w:rPr>
        <w:t>（乙方如果使用甲方提供水、电，按实收取费用，按实收取费用标准水费6元/吨，电费1.2元/度）</w:t>
      </w:r>
      <w:r>
        <w:rPr>
          <w:rFonts w:hint="eastAsia" w:ascii="方正仿宋_GB2312" w:hAnsi="方正仿宋_GB2312" w:eastAsia="方正仿宋_GB2312" w:cs="方正仿宋_GB2312"/>
          <w:b w:val="0"/>
          <w:bCs w:val="0"/>
          <w:color w:val="auto"/>
          <w:kern w:val="0"/>
          <w:sz w:val="24"/>
          <w:szCs w:val="24"/>
          <w:highlight w:val="none"/>
          <w:lang w:val="en-US" w:eastAsia="zh-CN"/>
        </w:rPr>
        <w:t>。</w:t>
      </w:r>
      <w:r>
        <w:rPr>
          <w:rFonts w:hint="eastAsia" w:ascii="方正仿宋_GB2312" w:hAnsi="方正仿宋_GB2312" w:eastAsia="方正仿宋_GB2312" w:cs="方正仿宋_GB2312"/>
          <w:b w:val="0"/>
          <w:bCs w:val="0"/>
          <w:color w:val="auto"/>
          <w:kern w:val="0"/>
          <w:sz w:val="24"/>
          <w:szCs w:val="24"/>
          <w:lang w:val="en-US" w:eastAsia="zh-CN"/>
        </w:rPr>
        <w:t>施工期间加工车间、加工场地、材料堆放、设备的存放、保管及保养等临时设施由中标人自行解决，所需费用由中标人在投标费率中考虑。</w:t>
      </w:r>
    </w:p>
    <w:p w14:paraId="0AFDF6E1">
      <w:pPr>
        <w:numPr>
          <w:ilvl w:val="0"/>
          <w:numId w:val="0"/>
        </w:numPr>
        <w:tabs>
          <w:tab w:val="left" w:pos="7560"/>
        </w:tabs>
        <w:spacing w:line="360" w:lineRule="auto"/>
        <w:ind w:left="0" w:leftChars="0" w:firstLine="420" w:firstLineChars="175"/>
        <w:rPr>
          <w:rFonts w:hint="eastAsia" w:ascii="方正仿宋_GB2312" w:hAnsi="方正仿宋_GB2312" w:eastAsia="方正仿宋_GB2312" w:cs="方正仿宋_GB2312"/>
          <w:b w:val="0"/>
          <w:bCs w:val="0"/>
          <w:color w:val="auto"/>
          <w:kern w:val="0"/>
          <w:sz w:val="24"/>
          <w:szCs w:val="24"/>
          <w:lang w:val="en-US" w:eastAsia="zh-CN"/>
        </w:rPr>
      </w:pPr>
      <w:r>
        <w:rPr>
          <w:rFonts w:hint="eastAsia" w:ascii="方正仿宋_GB2312" w:hAnsi="方正仿宋_GB2312" w:eastAsia="方正仿宋_GB2312" w:cs="方正仿宋_GB2312"/>
          <w:b w:val="0"/>
          <w:bCs w:val="0"/>
          <w:color w:val="auto"/>
          <w:kern w:val="0"/>
          <w:sz w:val="24"/>
          <w:szCs w:val="24"/>
          <w:lang w:val="en-US" w:eastAsia="zh-CN"/>
        </w:rPr>
        <w:t xml:space="preserve"> 4、 签证变更计价方式。</w:t>
      </w:r>
    </w:p>
    <w:p w14:paraId="16FCCF1E">
      <w:pPr>
        <w:numPr>
          <w:ilvl w:val="0"/>
          <w:numId w:val="0"/>
        </w:numPr>
        <w:tabs>
          <w:tab w:val="left" w:pos="7560"/>
        </w:tabs>
        <w:spacing w:line="360" w:lineRule="auto"/>
        <w:ind w:left="0" w:leftChars="0" w:firstLine="420" w:firstLineChars="175"/>
        <w:rPr>
          <w:rFonts w:hint="eastAsia" w:ascii="方正仿宋_GB2312" w:hAnsi="方正仿宋_GB2312" w:eastAsia="方正仿宋_GB2312" w:cs="方正仿宋_GB2312"/>
          <w:b w:val="0"/>
          <w:bCs w:val="0"/>
          <w:color w:val="auto"/>
          <w:kern w:val="0"/>
          <w:sz w:val="24"/>
          <w:szCs w:val="24"/>
          <w:lang w:val="en-US" w:eastAsia="zh-CN"/>
        </w:rPr>
      </w:pPr>
      <w:r>
        <w:rPr>
          <w:rFonts w:hint="eastAsia" w:ascii="方正仿宋_GB2312" w:hAnsi="方正仿宋_GB2312" w:eastAsia="方正仿宋_GB2312" w:cs="方正仿宋_GB2312"/>
          <w:b w:val="0"/>
          <w:bCs w:val="0"/>
          <w:color w:val="auto"/>
          <w:kern w:val="0"/>
          <w:sz w:val="24"/>
          <w:szCs w:val="24"/>
          <w:lang w:val="en-US" w:eastAsia="zh-CN"/>
        </w:rPr>
        <w:t>（1）清单中有相同综合单价的，按清单中的相同综合单价计算；</w:t>
      </w:r>
    </w:p>
    <w:p w14:paraId="524E99A8">
      <w:pPr>
        <w:numPr>
          <w:ilvl w:val="0"/>
          <w:numId w:val="0"/>
        </w:numPr>
        <w:tabs>
          <w:tab w:val="left" w:pos="7560"/>
        </w:tabs>
        <w:spacing w:line="360" w:lineRule="auto"/>
        <w:ind w:left="0" w:leftChars="0" w:firstLine="420" w:firstLineChars="175"/>
        <w:rPr>
          <w:rFonts w:hint="eastAsia" w:ascii="方正仿宋_GB2312" w:hAnsi="方正仿宋_GB2312" w:eastAsia="方正仿宋_GB2312" w:cs="方正仿宋_GB2312"/>
          <w:b w:val="0"/>
          <w:bCs w:val="0"/>
          <w:color w:val="auto"/>
          <w:kern w:val="0"/>
          <w:sz w:val="24"/>
          <w:szCs w:val="24"/>
          <w:lang w:val="en-US" w:eastAsia="zh-CN"/>
        </w:rPr>
      </w:pPr>
      <w:r>
        <w:rPr>
          <w:rFonts w:hint="eastAsia" w:ascii="方正仿宋_GB2312" w:hAnsi="方正仿宋_GB2312" w:eastAsia="方正仿宋_GB2312" w:cs="方正仿宋_GB2312"/>
          <w:b w:val="0"/>
          <w:bCs w:val="0"/>
          <w:color w:val="auto"/>
          <w:kern w:val="0"/>
          <w:sz w:val="24"/>
          <w:szCs w:val="24"/>
          <w:lang w:val="en-US" w:eastAsia="zh-CN"/>
        </w:rPr>
        <w:t>（2）清单中有类似综合单价的，按类似综合单价计算；</w:t>
      </w:r>
    </w:p>
    <w:p w14:paraId="4B802A87">
      <w:pPr>
        <w:numPr>
          <w:ilvl w:val="0"/>
          <w:numId w:val="0"/>
        </w:numPr>
        <w:tabs>
          <w:tab w:val="left" w:pos="7560"/>
        </w:tabs>
        <w:spacing w:line="360" w:lineRule="auto"/>
        <w:ind w:left="0" w:leftChars="0" w:firstLine="420" w:firstLineChars="175"/>
        <w:rPr>
          <w:rFonts w:hint="eastAsia" w:ascii="方正仿宋_GB2312" w:hAnsi="方正仿宋_GB2312" w:eastAsia="方正仿宋_GB2312" w:cs="方正仿宋_GB2312"/>
          <w:b w:val="0"/>
          <w:bCs w:val="0"/>
          <w:color w:val="auto"/>
          <w:kern w:val="0"/>
          <w:sz w:val="24"/>
          <w:szCs w:val="24"/>
          <w:lang w:val="en-US" w:eastAsia="zh-CN"/>
        </w:rPr>
      </w:pPr>
      <w:r>
        <w:rPr>
          <w:rFonts w:hint="eastAsia" w:ascii="方正仿宋_GB2312" w:hAnsi="方正仿宋_GB2312" w:eastAsia="方正仿宋_GB2312" w:cs="方正仿宋_GB2312"/>
          <w:b w:val="0"/>
          <w:bCs w:val="0"/>
          <w:color w:val="auto"/>
          <w:kern w:val="0"/>
          <w:sz w:val="24"/>
          <w:szCs w:val="24"/>
          <w:lang w:val="en-US" w:eastAsia="zh-CN"/>
        </w:rPr>
        <w:t>（3）</w:t>
      </w:r>
      <w:r>
        <w:rPr>
          <w:rFonts w:hint="eastAsia" w:ascii="方正仿宋_GB2312" w:hAnsi="方正仿宋_GB2312" w:eastAsia="方正仿宋_GB2312" w:cs="方正仿宋_GB2312"/>
          <w:b w:val="0"/>
          <w:bCs w:val="0"/>
          <w:color w:val="FF0000"/>
          <w:kern w:val="0"/>
          <w:sz w:val="24"/>
          <w:szCs w:val="24"/>
          <w:lang w:val="en-US" w:eastAsia="zh-CN"/>
        </w:rPr>
        <w:t>清单中没有适用或类似于变更工程的价格，按乙方中标下浮率下浮后确定变更工程价款。中标下浮率=（1-中标价格/采购控制价）×100%。</w:t>
      </w:r>
    </w:p>
    <w:p w14:paraId="5966B39C">
      <w:pPr>
        <w:keepNext w:val="0"/>
        <w:keepLines w:val="0"/>
        <w:pageBreakBefore w:val="0"/>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方正仿宋_GB2312" w:hAnsi="方正仿宋_GB2312" w:eastAsia="方正仿宋_GB2312" w:cs="方正仿宋_GB2312"/>
          <w:b/>
          <w:color w:val="auto"/>
          <w:kern w:val="0"/>
          <w:sz w:val="24"/>
          <w:szCs w:val="24"/>
          <w:highlight w:val="none"/>
          <w:lang w:val="en-US" w:eastAsia="zh-CN"/>
        </w:rPr>
      </w:pPr>
      <w:r>
        <w:rPr>
          <w:rFonts w:hint="eastAsia" w:ascii="方正仿宋_GB2312" w:hAnsi="方正仿宋_GB2312" w:eastAsia="方正仿宋_GB2312" w:cs="方正仿宋_GB2312"/>
          <w:b/>
          <w:color w:val="auto"/>
          <w:kern w:val="0"/>
          <w:sz w:val="24"/>
          <w:szCs w:val="24"/>
          <w:highlight w:val="none"/>
          <w:lang w:val="en-US" w:eastAsia="zh-CN"/>
        </w:rPr>
        <w:t>十、款项支付</w:t>
      </w:r>
    </w:p>
    <w:p w14:paraId="05D5C984">
      <w:pPr>
        <w:keepNext w:val="0"/>
        <w:keepLines w:val="0"/>
        <w:pageBreakBefore w:val="0"/>
        <w:kinsoku/>
        <w:wordWrap/>
        <w:overflowPunct/>
        <w:topLinePunct w:val="0"/>
        <w:bidi w:val="0"/>
        <w:snapToGrid/>
        <w:spacing w:line="360" w:lineRule="auto"/>
        <w:ind w:firstLine="480" w:firstLineChars="200"/>
        <w:textAlignment w:val="auto"/>
        <w:rPr>
          <w:rFonts w:hint="eastAsia" w:ascii="方正仿宋_GB2312" w:hAnsi="方正仿宋_GB2312" w:eastAsia="方正仿宋_GB2312" w:cs="方正仿宋_GB2312"/>
          <w:b w:val="0"/>
          <w:bCs w:val="0"/>
          <w:color w:val="auto"/>
          <w:kern w:val="0"/>
          <w:sz w:val="24"/>
          <w:szCs w:val="24"/>
          <w:highlight w:val="none"/>
          <w:lang w:val="en-US" w:eastAsia="zh-CN" w:bidi="ar-SA"/>
        </w:rPr>
      </w:pPr>
      <w:r>
        <w:rPr>
          <w:rFonts w:hint="eastAsia" w:ascii="方正仿宋_GB2312" w:hAnsi="方正仿宋_GB2312" w:eastAsia="方正仿宋_GB2312" w:cs="方正仿宋_GB2312"/>
          <w:b w:val="0"/>
          <w:bCs w:val="0"/>
          <w:color w:val="auto"/>
          <w:kern w:val="0"/>
          <w:sz w:val="24"/>
          <w:szCs w:val="24"/>
          <w:highlight w:val="none"/>
          <w:lang w:val="en-US" w:eastAsia="zh-CN" w:bidi="ar-SA"/>
        </w:rPr>
        <w:t>1.付款方式</w:t>
      </w:r>
    </w:p>
    <w:p w14:paraId="27133385">
      <w:pPr>
        <w:keepNext w:val="0"/>
        <w:keepLines w:val="0"/>
        <w:pageBreakBefore w:val="0"/>
        <w:kinsoku/>
        <w:wordWrap/>
        <w:overflowPunct/>
        <w:topLinePunct w:val="0"/>
        <w:bidi w:val="0"/>
        <w:snapToGrid/>
        <w:spacing w:line="360" w:lineRule="auto"/>
        <w:ind w:firstLine="480" w:firstLineChars="200"/>
        <w:textAlignment w:val="auto"/>
        <w:rPr>
          <w:rFonts w:hint="eastAsia" w:ascii="方正仿宋_GB2312" w:hAnsi="方正仿宋_GB2312" w:eastAsia="方正仿宋_GB2312" w:cs="方正仿宋_GB2312"/>
          <w:b w:val="0"/>
          <w:bCs w:val="0"/>
          <w:color w:val="auto"/>
          <w:kern w:val="0"/>
          <w:sz w:val="24"/>
          <w:szCs w:val="24"/>
          <w:highlight w:val="none"/>
          <w:lang w:val="en-US" w:eastAsia="zh-CN" w:bidi="ar-SA"/>
        </w:rPr>
      </w:pPr>
      <w:r>
        <w:rPr>
          <w:rFonts w:hint="eastAsia" w:ascii="方正仿宋_GB2312" w:hAnsi="方正仿宋_GB2312" w:eastAsia="方正仿宋_GB2312" w:cs="方正仿宋_GB2312"/>
          <w:b w:val="0"/>
          <w:bCs w:val="0"/>
          <w:color w:val="auto"/>
          <w:kern w:val="0"/>
          <w:sz w:val="24"/>
          <w:szCs w:val="24"/>
          <w:highlight w:val="none"/>
          <w:lang w:val="en-US" w:eastAsia="zh-CN" w:bidi="ar-SA"/>
        </w:rPr>
        <w:t>1.1本合同下所有款项均使用人民币支付。</w:t>
      </w:r>
    </w:p>
    <w:p w14:paraId="427C1051">
      <w:pPr>
        <w:keepNext w:val="0"/>
        <w:keepLines w:val="0"/>
        <w:pageBreakBefore w:val="0"/>
        <w:kinsoku/>
        <w:wordWrap/>
        <w:overflowPunct/>
        <w:topLinePunct w:val="0"/>
        <w:bidi w:val="0"/>
        <w:snapToGrid/>
        <w:spacing w:line="360" w:lineRule="auto"/>
        <w:ind w:firstLine="480" w:firstLineChars="200"/>
        <w:textAlignment w:val="auto"/>
        <w:rPr>
          <w:rFonts w:hint="eastAsia" w:ascii="方正仿宋_GB2312" w:hAnsi="方正仿宋_GB2312" w:eastAsia="方正仿宋_GB2312" w:cs="方正仿宋_GB2312"/>
          <w:b w:val="0"/>
          <w:bCs w:val="0"/>
          <w:color w:val="auto"/>
          <w:kern w:val="0"/>
          <w:sz w:val="24"/>
          <w:szCs w:val="24"/>
          <w:highlight w:val="none"/>
          <w:lang w:val="en-US" w:eastAsia="zh-CN" w:bidi="ar-SA"/>
        </w:rPr>
      </w:pPr>
      <w:r>
        <w:rPr>
          <w:rFonts w:hint="eastAsia" w:ascii="方正仿宋_GB2312" w:hAnsi="方正仿宋_GB2312" w:eastAsia="方正仿宋_GB2312" w:cs="方正仿宋_GB2312"/>
          <w:b w:val="0"/>
          <w:bCs w:val="0"/>
          <w:color w:val="auto"/>
          <w:kern w:val="0"/>
          <w:sz w:val="24"/>
          <w:szCs w:val="24"/>
          <w:highlight w:val="none"/>
          <w:lang w:val="en-US" w:eastAsia="zh-CN" w:bidi="ar-SA"/>
        </w:rPr>
        <w:t>1.2付款方式为：</w:t>
      </w:r>
    </w:p>
    <w:p w14:paraId="286D8D58">
      <w:pPr>
        <w:spacing w:line="48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rPr>
        <w:t>1、工程</w:t>
      </w:r>
      <w:r>
        <w:rPr>
          <w:rFonts w:hint="eastAsia" w:ascii="方正仿宋_GB2312" w:hAnsi="方正仿宋_GB2312" w:eastAsia="方正仿宋_GB2312" w:cs="方正仿宋_GB2312"/>
          <w:color w:val="auto"/>
          <w:sz w:val="24"/>
          <w:szCs w:val="24"/>
          <w:highlight w:val="none"/>
          <w:lang w:val="en-US" w:eastAsia="zh-CN"/>
        </w:rPr>
        <w:t>款支付节点：</w:t>
      </w:r>
    </w:p>
    <w:p w14:paraId="4EE9384A">
      <w:pPr>
        <w:spacing w:line="48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（1）工程预付款：本项目无预付款；</w:t>
      </w:r>
    </w:p>
    <w:p w14:paraId="5D3B6011">
      <w:pPr>
        <w:spacing w:line="48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工程进度款：在当期工程款项支付前，如发现当期完成工程项有不合格时，将扣除不合格项费用的费用，乙方还应立即进行修补工作，费用自理；不合格项经整改或修补达到“合格”的，在达标的当期支付其对应的费用；不合格项经整改或修补后经验收仍不合格的，应在结算中扣除不合格项费用。</w:t>
      </w:r>
    </w:p>
    <w:p w14:paraId="62FFD776">
      <w:pPr>
        <w:spacing w:line="48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（3）按已完工程造价的80%支付，工程完工累计支付至合同（暂定）总价80%时，暂停支付工程进度款。签证变更随进度款按甲方初审价的80%支付。</w:t>
      </w:r>
    </w:p>
    <w:p w14:paraId="02C80241">
      <w:pPr>
        <w:spacing w:line="48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（4）待工程全部调试完毕，并经甲方竣工验收合格，甲方在收到乙方提交的结算书60天完成结算初审，支付至初审结算价的90%；</w:t>
      </w:r>
    </w:p>
    <w:p w14:paraId="6FC339B6">
      <w:pPr>
        <w:spacing w:line="48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（5）经甲方成本部复审的结算价为本工程最终结算价，双方办理最终结算事宜并提供材料商结算清单以及劳务结算清单起15日内，支付到结算总价97%，乙方根据最终结算价及累计收款多退少补。</w:t>
      </w:r>
      <w:r>
        <w:rPr>
          <w:rFonts w:hint="eastAsia" w:ascii="方正仿宋_GB2312" w:hAnsi="方正仿宋_GB2312" w:eastAsia="方正仿宋_GB2312" w:cs="方正仿宋_GB2312"/>
          <w:color w:val="FF0000"/>
          <w:sz w:val="24"/>
          <w:szCs w:val="24"/>
          <w:highlight w:val="none"/>
          <w:lang w:val="en-US" w:eastAsia="zh-CN"/>
        </w:rPr>
        <w:t>最终结算价较乙方累计开票金额少时，乙方应负责发票红冲，并承担相关所有的费用及责任。</w:t>
      </w:r>
    </w:p>
    <w:p w14:paraId="12CB60FE">
      <w:pPr>
        <w:spacing w:line="48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（6）甲方付款前，乙方必须足额提供</w:t>
      </w:r>
      <w:r>
        <w:rPr>
          <w:rFonts w:hint="eastAsia" w:ascii="方正仿宋_GB2312" w:hAnsi="方正仿宋_GB2312" w:eastAsia="方正仿宋_GB2312" w:cs="方正仿宋_GB2312"/>
          <w:color w:val="FF0000"/>
          <w:sz w:val="24"/>
          <w:szCs w:val="24"/>
          <w:highlight w:val="none"/>
          <w:lang w:val="en-US" w:eastAsia="zh-CN"/>
        </w:rPr>
        <w:t>与本期产值金额对应的</w:t>
      </w:r>
      <w:r>
        <w:rPr>
          <w:rFonts w:hint="eastAsia" w:ascii="方正仿宋_GB2312" w:hAnsi="方正仿宋_GB2312" w:eastAsia="方正仿宋_GB2312" w:cs="方正仿宋_GB2312"/>
          <w:color w:val="auto"/>
          <w:sz w:val="24"/>
          <w:szCs w:val="24"/>
          <w:highlight w:val="none"/>
          <w:lang w:val="en-US" w:eastAsia="zh-CN"/>
        </w:rPr>
        <w:t>增值税税率符合相关法律法规的专用发票给甲方。如遇国家调整税率，按调整后税率及相关细则执行。乙方每次收取工程款时，需提供上月工人工资表给甲方。否则甲方有权拒绝支付工程款，乙方承担违约责任。甲方有权代乙方发放工人工资。</w:t>
      </w:r>
    </w:p>
    <w:p w14:paraId="64C14076">
      <w:pPr>
        <w:spacing w:line="480" w:lineRule="exact"/>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2、</w:t>
      </w:r>
      <w:r>
        <w:rPr>
          <w:rFonts w:hint="eastAsia" w:ascii="方正仿宋_GB2312" w:hAnsi="方正仿宋_GB2312" w:eastAsia="方正仿宋_GB2312" w:cs="方正仿宋_GB2312"/>
          <w:color w:val="auto"/>
          <w:sz w:val="24"/>
          <w:szCs w:val="24"/>
        </w:rPr>
        <w:t>工程质保金：</w:t>
      </w:r>
      <w:r>
        <w:rPr>
          <w:rFonts w:hint="eastAsia" w:ascii="方正仿宋_GB2312" w:hAnsi="方正仿宋_GB2312" w:eastAsia="方正仿宋_GB2312" w:cs="方正仿宋_GB2312"/>
          <w:color w:val="auto"/>
          <w:sz w:val="24"/>
          <w:szCs w:val="24"/>
          <w:lang w:val="en-US" w:eastAsia="zh-CN"/>
        </w:rPr>
        <w:t>结算总价的3%作为该项目工程质保金，乙方在工程质量保修期正常履行保修工作，甲方在竣工验收合格后满2年时在乙方递交付款申请30天内一次性无息支付质量保证金（扣除所有扣款、赔偿款后的费用总额）给乙方。</w:t>
      </w:r>
      <w:bookmarkStart w:id="0" w:name="_GoBack"/>
      <w:bookmarkEnd w:id="0"/>
    </w:p>
    <w:p w14:paraId="2DCCC9F7">
      <w:pPr>
        <w:keepNext w:val="0"/>
        <w:keepLines w:val="0"/>
        <w:pageBreakBefore w:val="0"/>
        <w:widowControl/>
        <w:kinsoku/>
        <w:wordWrap/>
        <w:overflowPunct/>
        <w:topLinePunct w:val="0"/>
        <w:autoSpaceDE/>
        <w:autoSpaceDN/>
        <w:bidi w:val="0"/>
        <w:adjustRightInd/>
        <w:snapToGrid w:val="0"/>
        <w:spacing w:line="480" w:lineRule="exact"/>
        <w:ind w:left="0" w:leftChars="0" w:firstLine="420" w:firstLineChars="0"/>
        <w:textAlignment w:val="auto"/>
        <w:rPr>
          <w:rFonts w:hint="eastAsia" w:ascii="方正仿宋_GB2312" w:hAnsi="方正仿宋_GB2312" w:eastAsia="方正仿宋_GB2312" w:cs="方正仿宋_GB2312"/>
          <w:b w:val="0"/>
          <w:bCs w:val="0"/>
          <w:color w:val="000000"/>
          <w:kern w:val="0"/>
          <w:sz w:val="24"/>
          <w:szCs w:val="24"/>
          <w:lang w:val="en-US" w:eastAsia="zh-CN"/>
        </w:rPr>
      </w:pPr>
      <w:r>
        <w:rPr>
          <w:rFonts w:hint="eastAsia" w:ascii="方正仿宋_GB2312" w:hAnsi="方正仿宋_GB2312" w:eastAsia="方正仿宋_GB2312" w:cs="方正仿宋_GB2312"/>
          <w:b w:val="0"/>
          <w:bCs w:val="0"/>
          <w:color w:val="000000"/>
          <w:kern w:val="0"/>
          <w:sz w:val="24"/>
          <w:szCs w:val="24"/>
          <w:lang w:val="en-US" w:eastAsia="zh-CN"/>
        </w:rPr>
        <w:t>3.本工程要求开具工人工资支付保函：</w:t>
      </w:r>
    </w:p>
    <w:p w14:paraId="71934B52">
      <w:pPr>
        <w:keepNext w:val="0"/>
        <w:keepLines w:val="0"/>
        <w:pageBreakBefore w:val="0"/>
        <w:widowControl/>
        <w:kinsoku/>
        <w:wordWrap/>
        <w:overflowPunct/>
        <w:topLinePunct w:val="0"/>
        <w:autoSpaceDE/>
        <w:autoSpaceDN/>
        <w:bidi w:val="0"/>
        <w:adjustRightInd/>
        <w:snapToGrid w:val="0"/>
        <w:spacing w:line="480" w:lineRule="exact"/>
        <w:ind w:left="0" w:leftChars="0" w:firstLine="420" w:firstLineChars="0"/>
        <w:textAlignment w:val="auto"/>
        <w:rPr>
          <w:rFonts w:hint="eastAsia" w:ascii="方正仿宋_GB2312" w:hAnsi="方正仿宋_GB2312" w:eastAsia="方正仿宋_GB2312" w:cs="方正仿宋_GB2312"/>
          <w:b w:val="0"/>
          <w:bCs w:val="0"/>
          <w:color w:val="FF0000"/>
          <w:sz w:val="24"/>
          <w:szCs w:val="24"/>
          <w:lang w:val="en-US" w:eastAsia="zh-CN"/>
        </w:rPr>
      </w:pPr>
      <w:r>
        <w:rPr>
          <w:rFonts w:hint="eastAsia" w:ascii="方正仿宋_GB2312" w:hAnsi="方正仿宋_GB2312" w:eastAsia="方正仿宋_GB2312" w:cs="方正仿宋_GB2312"/>
          <w:b w:val="0"/>
          <w:bCs w:val="0"/>
          <w:color w:val="FF0000"/>
          <w:kern w:val="0"/>
          <w:sz w:val="24"/>
          <w:szCs w:val="24"/>
          <w:lang w:val="en-US" w:eastAsia="zh-CN"/>
        </w:rPr>
        <w:t>需要提供合同总额10%的工人工资支付保函。</w:t>
      </w:r>
    </w:p>
    <w:p w14:paraId="13A8E15C">
      <w:pPr>
        <w:spacing w:line="48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lang w:val="en-US" w:eastAsia="zh-CN"/>
        </w:rPr>
        <w:t>4、</w:t>
      </w:r>
      <w:r>
        <w:rPr>
          <w:rFonts w:hint="eastAsia" w:ascii="方正仿宋_GB2312" w:hAnsi="方正仿宋_GB2312" w:eastAsia="方正仿宋_GB2312" w:cs="方正仿宋_GB2312"/>
          <w:color w:val="auto"/>
          <w:sz w:val="24"/>
          <w:szCs w:val="24"/>
          <w:highlight w:val="none"/>
        </w:rPr>
        <w:t>付款申请</w:t>
      </w:r>
    </w:p>
    <w:p w14:paraId="48B235F3">
      <w:pPr>
        <w:spacing w:line="48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（1）乙方每次请款时必须按甲方要求提供甲方、监理单位进度确认报表、付款申请表以及</w:t>
      </w:r>
      <w:r>
        <w:rPr>
          <w:rFonts w:hint="eastAsia" w:ascii="方正仿宋_GB2312" w:hAnsi="方正仿宋_GB2312" w:eastAsia="方正仿宋_GB2312" w:cs="方正仿宋_GB2312"/>
          <w:color w:val="FF0000"/>
          <w:sz w:val="24"/>
          <w:szCs w:val="24"/>
          <w:highlight w:val="none"/>
          <w:lang w:val="en-US" w:eastAsia="zh-CN"/>
        </w:rPr>
        <w:t>与本期产值金额对应的</w:t>
      </w:r>
      <w:r>
        <w:rPr>
          <w:rFonts w:hint="eastAsia" w:ascii="方正仿宋_GB2312" w:hAnsi="方正仿宋_GB2312" w:eastAsia="方正仿宋_GB2312" w:cs="方正仿宋_GB2312"/>
          <w:color w:val="auto"/>
          <w:sz w:val="24"/>
          <w:szCs w:val="24"/>
          <w:highlight w:val="none"/>
        </w:rPr>
        <w:t>等额的合法税务发票，已经完成的分部分项工程，必须附上分部分项工程质量验收记录表，如未能按甲方要求提供请款的资料和正规合法的税务发票，甲方有权延迟付款。</w:t>
      </w:r>
    </w:p>
    <w:p w14:paraId="4143576B">
      <w:pPr>
        <w:spacing w:line="48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（2）以上付款，甲方将以转账方式支付。</w:t>
      </w:r>
    </w:p>
    <w:p w14:paraId="6A78DABF">
      <w:pPr>
        <w:numPr>
          <w:ilvl w:val="0"/>
          <w:numId w:val="0"/>
        </w:numPr>
        <w:ind w:leftChars="200"/>
        <w:rPr>
          <w:rFonts w:hint="default" w:ascii="方正仿宋_GB2312" w:hAnsi="方正仿宋_GB2312" w:eastAsia="方正仿宋_GB2312" w:cs="方正仿宋_GB2312"/>
          <w:b w:val="0"/>
          <w:bCs w:val="0"/>
          <w:sz w:val="21"/>
          <w:szCs w:val="21"/>
          <w:lang w:val="en-US" w:eastAsia="zh-CN"/>
        </w:rPr>
      </w:pPr>
    </w:p>
    <w:sectPr>
      <w:pgSz w:w="11909" w:h="16841"/>
      <w:pgMar w:top="854" w:right="931" w:bottom="1041" w:left="1003"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A0F7AE59-3F28-49DE-8747-25157C5C59B7}"/>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embedRegular r:id="rId2" w:fontKey="{EA7C0A89-0901-42F3-AE65-1CD65F84F7FB}"/>
  </w:font>
  <w:font w:name="方正仿宋_GB2312">
    <w:panose1 w:val="02000000000000000000"/>
    <w:charset w:val="86"/>
    <w:family w:val="auto"/>
    <w:pitch w:val="default"/>
    <w:sig w:usb0="A00002BF" w:usb1="184F6CFA" w:usb2="00000012" w:usb3="00000000" w:csb0="00040001" w:csb1="00000000"/>
    <w:embedRegular r:id="rId3" w:fontKey="{7C1D5F47-0FA5-4F0C-A9F5-556C996979E0}"/>
  </w:font>
  <w:font w:name="WPSEMBED1">
    <w:panose1 w:val="02000000000000000000"/>
    <w:charset w:val="86"/>
    <w:family w:val="auto"/>
    <w:pitch w:val="default"/>
    <w:sig w:usb0="A00002BF" w:usb1="184F6CFA" w:usb2="00000012"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16" w:lineRule="auto"/>
      </w:pPr>
      <w:r>
        <w:separator/>
      </w:r>
    </w:p>
  </w:footnote>
  <w:footnote w:type="continuationSeparator" w:id="1">
    <w:p>
      <w:pPr>
        <w:spacing w:before="0" w:after="0" w:line="21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3B9218"/>
    <w:multiLevelType w:val="singleLevel"/>
    <w:tmpl w:val="0A3B9218"/>
    <w:lvl w:ilvl="0" w:tentative="0">
      <w:start w:val="2"/>
      <w:numFmt w:val="decimal"/>
      <w:suff w:val="nothing"/>
      <w:lvlText w:val="%1、"/>
      <w:lvlJc w:val="left"/>
    </w:lvl>
  </w:abstractNum>
  <w:abstractNum w:abstractNumId="1">
    <w:nsid w:val="67CEA8B0"/>
    <w:multiLevelType w:val="multilevel"/>
    <w:tmpl w:val="67CEA8B0"/>
    <w:lvl w:ilvl="0" w:tentative="0">
      <w:start w:val="2"/>
      <w:numFmt w:val="chineseCounting"/>
      <w:suff w:val="nothing"/>
      <w:lvlText w:val="%1、"/>
      <w:lvlJc w:val="left"/>
      <w:rPr>
        <w:rFonts w:hint="eastAsia"/>
      </w:rPr>
    </w:lvl>
    <w:lvl w:ilvl="1" w:tentative="0">
      <w:start w:val="1"/>
      <w:numFmt w:val="chineseCounting"/>
      <w:suff w:val="nothing"/>
      <w:lvlText w:val="（%2）"/>
      <w:lvlJc w:val="left"/>
      <w:rPr>
        <w:rFonts w:hint="default"/>
      </w:rPr>
    </w:lvl>
    <w:lvl w:ilvl="2" w:tentative="0">
      <w:start w:val="1"/>
      <w:numFmt w:val="decimal"/>
      <w:suff w:val="nothing"/>
      <w:lvlText w:val="%3．"/>
      <w:lvlJc w:val="left"/>
      <w:rPr>
        <w:rFonts w:hint="default"/>
      </w:rPr>
    </w:lvl>
    <w:lvl w:ilvl="3" w:tentative="0">
      <w:start w:val="1"/>
      <w:numFmt w:val="decimal"/>
      <w:suff w:val="nothing"/>
      <w:lvlText w:val="（%4）"/>
      <w:lvlJc w:val="left"/>
      <w:rPr>
        <w:rFonts w:hint="default"/>
      </w:rPr>
    </w:lvl>
    <w:lvl w:ilvl="4" w:tentative="0">
      <w:start w:val="1"/>
      <w:numFmt w:val="decimalEnclosedCircleChinese"/>
      <w:suff w:val="nothing"/>
      <w:lvlText w:val="%5"/>
      <w:lvlJc w:val="left"/>
      <w:rPr>
        <w:rFonts w:hint="default"/>
      </w:rPr>
    </w:lvl>
    <w:lvl w:ilvl="5" w:tentative="0">
      <w:start w:val="1"/>
      <w:numFmt w:val="upperLetter"/>
      <w:suff w:val="nothing"/>
      <w:lvlText w:val="%6."/>
      <w:lvlJc w:val="left"/>
      <w:rPr>
        <w:rFonts w:hint="default"/>
      </w:rPr>
    </w:lvl>
    <w:lvl w:ilvl="6" w:tentative="0">
      <w:start w:val="1"/>
      <w:numFmt w:val="lowerLetter"/>
      <w:suff w:val="nothing"/>
      <w:lvlText w:val="%7．"/>
      <w:lvlJc w:val="left"/>
      <w:rPr>
        <w:rFonts w:hint="default"/>
      </w:rPr>
    </w:lvl>
    <w:lvl w:ilvl="7" w:tentative="0">
      <w:start w:val="1"/>
      <w:numFmt w:val="upperLetter"/>
      <w:suff w:val="nothing"/>
      <w:lvlText w:val="（%8）"/>
      <w:lvlJc w:val="left"/>
      <w:rPr>
        <w:rFonts w:hint="default"/>
      </w:rPr>
    </w:lvl>
    <w:lvl w:ilvl="8" w:tentative="0">
      <w:start w:val="1"/>
      <w:numFmt w:val="lowerLetter"/>
      <w:suff w:val="nothing"/>
      <w:lvlText w:val="（%9）"/>
      <w:lvlJc w:val="left"/>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A3M2U5M2VlNWJmMjljZjkzNzliZDhiZjg1ZTRiMTYifQ=="/>
  </w:docVars>
  <w:rsids>
    <w:rsidRoot w:val="00722303"/>
    <w:rsid w:val="001473C8"/>
    <w:rsid w:val="005C3D0C"/>
    <w:rsid w:val="005D55FE"/>
    <w:rsid w:val="00720F23"/>
    <w:rsid w:val="00722303"/>
    <w:rsid w:val="00760C6C"/>
    <w:rsid w:val="00930154"/>
    <w:rsid w:val="00A43FEF"/>
    <w:rsid w:val="00BD4227"/>
    <w:rsid w:val="00CE6D58"/>
    <w:rsid w:val="00E73E4A"/>
    <w:rsid w:val="02223D56"/>
    <w:rsid w:val="0490338C"/>
    <w:rsid w:val="05B2670C"/>
    <w:rsid w:val="07A845DB"/>
    <w:rsid w:val="093B726D"/>
    <w:rsid w:val="0CEC568C"/>
    <w:rsid w:val="145E6E6F"/>
    <w:rsid w:val="16382E0B"/>
    <w:rsid w:val="16DB2490"/>
    <w:rsid w:val="1A8E5A8C"/>
    <w:rsid w:val="1B5103C3"/>
    <w:rsid w:val="2035167E"/>
    <w:rsid w:val="20BD3045"/>
    <w:rsid w:val="21494A03"/>
    <w:rsid w:val="246F7AE0"/>
    <w:rsid w:val="28B60BD0"/>
    <w:rsid w:val="2C4058CC"/>
    <w:rsid w:val="2D7E1617"/>
    <w:rsid w:val="35096FE6"/>
    <w:rsid w:val="35EB30A9"/>
    <w:rsid w:val="3A076141"/>
    <w:rsid w:val="3B547DD5"/>
    <w:rsid w:val="3E813D35"/>
    <w:rsid w:val="3F104A3E"/>
    <w:rsid w:val="46CC5611"/>
    <w:rsid w:val="53366346"/>
    <w:rsid w:val="56E930F3"/>
    <w:rsid w:val="57D57F5B"/>
    <w:rsid w:val="594A19DA"/>
    <w:rsid w:val="5DB32F34"/>
    <w:rsid w:val="604F5912"/>
    <w:rsid w:val="61981BFE"/>
    <w:rsid w:val="66B81A4C"/>
    <w:rsid w:val="6C5D16A0"/>
    <w:rsid w:val="6DF56F2F"/>
    <w:rsid w:val="703F03BF"/>
    <w:rsid w:val="71E43274"/>
    <w:rsid w:val="72C80718"/>
    <w:rsid w:val="788E5ECA"/>
    <w:rsid w:val="7A2F6982"/>
    <w:rsid w:val="7E0B4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43" w:line="216" w:lineRule="auto"/>
      <w:ind w:left="61" w:firstLine="5"/>
      <w:jc w:val="both"/>
    </w:pPr>
    <w:rPr>
      <w:rFonts w:ascii="微软雅黑" w:hAnsi="微软雅黑" w:eastAsia="微软雅黑" w:cs="微软雅黑"/>
      <w:color w:val="000000"/>
      <w:kern w:val="2"/>
      <w:sz w:val="24"/>
      <w:szCs w:val="24"/>
      <w:lang w:val="en-US" w:eastAsia="zh-CN" w:bidi="ar-SA"/>
      <w14:ligatures w14:val="standardContextual"/>
    </w:rPr>
  </w:style>
  <w:style w:type="paragraph" w:styleId="2">
    <w:name w:val="heading 1"/>
    <w:basedOn w:val="1"/>
    <w:next w:val="1"/>
    <w:link w:val="7"/>
    <w:qFormat/>
    <w:uiPriority w:val="9"/>
    <w:pPr>
      <w:keepNext/>
      <w:keepLines/>
      <w:spacing w:after="0" w:line="259" w:lineRule="auto"/>
      <w:ind w:left="61" w:hanging="10"/>
      <w:jc w:val="center"/>
      <w:outlineLvl w:val="0"/>
    </w:pPr>
    <w:rPr>
      <w:rFonts w:ascii="微软雅黑" w:hAnsi="微软雅黑" w:eastAsia="微软雅黑" w:cs="微软雅黑"/>
      <w:color w:val="000000"/>
      <w:kern w:val="2"/>
      <w:sz w:val="32"/>
      <w:szCs w:val="24"/>
      <w:lang w:val="en-US" w:eastAsia="zh-CN" w:bidi="ar-SA"/>
      <w14:ligatures w14:val="standardContextual"/>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spacing w:line="240" w:lineRule="auto"/>
      <w:jc w:val="left"/>
    </w:pPr>
    <w:rPr>
      <w:sz w:val="18"/>
      <w:szCs w:val="18"/>
    </w:rPr>
  </w:style>
  <w:style w:type="paragraph" w:styleId="4">
    <w:name w:val="header"/>
    <w:basedOn w:val="1"/>
    <w:link w:val="9"/>
    <w:unhideWhenUsed/>
    <w:qFormat/>
    <w:uiPriority w:val="99"/>
    <w:pPr>
      <w:tabs>
        <w:tab w:val="center" w:pos="4153"/>
        <w:tab w:val="right" w:pos="8306"/>
      </w:tabs>
      <w:snapToGrid w:val="0"/>
      <w:spacing w:line="240" w:lineRule="auto"/>
      <w:jc w:val="center"/>
    </w:pPr>
    <w:rPr>
      <w:sz w:val="18"/>
      <w:szCs w:val="18"/>
    </w:rPr>
  </w:style>
  <w:style w:type="character" w:customStyle="1" w:styleId="7">
    <w:name w:val="标题 1 字符"/>
    <w:link w:val="2"/>
    <w:qFormat/>
    <w:uiPriority w:val="0"/>
    <w:rPr>
      <w:rFonts w:ascii="微软雅黑" w:hAnsi="微软雅黑" w:eastAsia="微软雅黑" w:cs="微软雅黑"/>
      <w:color w:val="000000"/>
      <w:sz w:val="32"/>
    </w:rPr>
  </w:style>
  <w:style w:type="table" w:customStyle="1" w:styleId="8">
    <w:name w:val="TableGrid"/>
    <w:qFormat/>
    <w:uiPriority w:val="0"/>
    <w:pPr>
      <w:spacing w:after="0" w:line="240" w:lineRule="auto"/>
    </w:pPr>
    <w:tblPr>
      <w:tblCellMar>
        <w:top w:w="0" w:type="dxa"/>
        <w:left w:w="0" w:type="dxa"/>
        <w:bottom w:w="0" w:type="dxa"/>
        <w:right w:w="0" w:type="dxa"/>
      </w:tblCellMar>
    </w:tblPr>
  </w:style>
  <w:style w:type="character" w:customStyle="1" w:styleId="9">
    <w:name w:val="页眉 字符"/>
    <w:basedOn w:val="6"/>
    <w:link w:val="4"/>
    <w:qFormat/>
    <w:uiPriority w:val="99"/>
    <w:rPr>
      <w:rFonts w:ascii="微软雅黑" w:hAnsi="微软雅黑" w:eastAsia="微软雅黑" w:cs="微软雅黑"/>
      <w:color w:val="000000"/>
      <w:sz w:val="18"/>
      <w:szCs w:val="18"/>
    </w:rPr>
  </w:style>
  <w:style w:type="character" w:customStyle="1" w:styleId="10">
    <w:name w:val="页脚 字符"/>
    <w:basedOn w:val="6"/>
    <w:link w:val="3"/>
    <w:qFormat/>
    <w:uiPriority w:val="99"/>
    <w:rPr>
      <w:rFonts w:ascii="微软雅黑" w:hAnsi="微软雅黑" w:eastAsia="微软雅黑" w:cs="微软雅黑"/>
      <w:color w:val="000000"/>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4598</Words>
  <Characters>4866</Characters>
  <Lines>10</Lines>
  <Paragraphs>2</Paragraphs>
  <TotalTime>2</TotalTime>
  <ScaleCrop>false</ScaleCrop>
  <LinksUpToDate>false</LinksUpToDate>
  <CharactersWithSpaces>4919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2025-08-03T09:33:00Z</dcterms:created>
  <dc:creator>jw Z</dc:creator>
  <cp:lastModifiedBy>箫虹</cp:lastModifiedBy>
  <dcterms:modified xsi:type="dcterms:W3CDTF">2026-01-26T08:06:07Z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eyJoZGlkIjoiYjFkOGY5NjQ5ZjA2NjRiNGYyYmU4MmMzNjRlZDcyMGYiLCJ1c2VySWQiOiI3MTYyMzAwODQifQ==</vt:lpwstr>
  </property>
  <property fmtid="{D5CDD505-2E9C-101B-9397-08002B2CF9AE}" pid="3" name="KSOProductBuildVer">
    <vt:lpwstr>2052-12.1.0.24657</vt:lpwstr>
  </property>
  <property fmtid="{D5CDD505-2E9C-101B-9397-08002B2CF9AE}" pid="4" name="ICV">
    <vt:lpwstr>63121EC911DA44619F19E3AB41078509_13</vt:lpwstr>
  </property>
</Properties>
</file>