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45A41">
      <w:pPr>
        <w:spacing w:line="360" w:lineRule="auto"/>
        <w:jc w:val="center"/>
        <w:rPr>
          <w:rFonts w:hint="eastAsia" w:asciiTheme="minorEastAsia" w:hAnsiTheme="minorEastAsia" w:eastAsiaTheme="minorEastAsia" w:cstheme="minorEastAsia"/>
          <w:b/>
          <w:bCs/>
          <w:color w:val="auto"/>
          <w:kern w:val="44"/>
          <w:sz w:val="32"/>
          <w:szCs w:val="32"/>
          <w:lang w:val="en-US" w:eastAsia="zh-CN" w:bidi="ar-SA"/>
        </w:rPr>
      </w:pPr>
      <w:bookmarkStart w:id="0" w:name="_GoBack"/>
      <w:bookmarkEnd w:id="0"/>
      <w:r>
        <w:rPr>
          <w:rFonts w:hint="eastAsia" w:ascii="Times New Roman" w:hAnsi="Times New Roman" w:eastAsia="宋体" w:cs="Times New Roman"/>
          <w:b/>
          <w:bCs/>
          <w:color w:val="auto"/>
          <w:kern w:val="44"/>
          <w:sz w:val="32"/>
          <w:szCs w:val="32"/>
          <w:lang w:val="en-US" w:eastAsia="zh-CN" w:bidi="ar-SA"/>
        </w:rPr>
        <w:t>东莞市凤岗镇博深高速联络线及雁鸣湖路道路工程（一期）项目-给水工程钢管、铸铁管、管件等材料</w:t>
      </w:r>
      <w:r>
        <w:rPr>
          <w:rFonts w:hint="eastAsia" w:asciiTheme="minorEastAsia" w:hAnsiTheme="minorEastAsia" w:eastAsiaTheme="minorEastAsia" w:cstheme="minorEastAsia"/>
          <w:b/>
          <w:bCs/>
          <w:color w:val="auto"/>
          <w:kern w:val="0"/>
          <w:sz w:val="32"/>
          <w:szCs w:val="32"/>
          <w:lang w:val="en-US" w:eastAsia="zh-CN"/>
        </w:rPr>
        <w:t>采购</w:t>
      </w:r>
      <w:r>
        <w:rPr>
          <w:rFonts w:hint="eastAsia" w:asciiTheme="minorEastAsia" w:hAnsiTheme="minorEastAsia" w:eastAsiaTheme="minorEastAsia" w:cstheme="minorEastAsia"/>
          <w:b/>
          <w:bCs/>
          <w:color w:val="auto"/>
          <w:kern w:val="44"/>
          <w:sz w:val="32"/>
          <w:szCs w:val="32"/>
          <w:lang w:val="en-US" w:eastAsia="zh-CN" w:bidi="ar-SA"/>
        </w:rPr>
        <w:t>需求书</w:t>
      </w:r>
    </w:p>
    <w:p w14:paraId="23F3FBAB">
      <w:pPr>
        <w:autoSpaceDE w:val="0"/>
        <w:autoSpaceDN w:val="0"/>
        <w:adjustRightInd w:val="0"/>
        <w:spacing w:line="360" w:lineRule="auto"/>
        <w:jc w:val="left"/>
        <w:rPr>
          <w:rFonts w:ascii="Times New Roman" w:hAnsi="Times New Roman" w:eastAsia="宋体" w:cs="Times New Roman"/>
          <w:b/>
          <w:color w:val="auto"/>
          <w:kern w:val="0"/>
          <w:sz w:val="24"/>
          <w:szCs w:val="21"/>
        </w:rPr>
      </w:pPr>
      <w:r>
        <w:rPr>
          <w:rFonts w:ascii="Times New Roman" w:hAnsi="Times New Roman" w:eastAsia="宋体" w:cs="Times New Roman"/>
          <w:b/>
          <w:color w:val="auto"/>
          <w:kern w:val="0"/>
          <w:sz w:val="24"/>
          <w:szCs w:val="21"/>
        </w:rPr>
        <w:t>一、项目信息</w:t>
      </w:r>
    </w:p>
    <w:p w14:paraId="4A2EAF32">
      <w:pPr>
        <w:autoSpaceDE w:val="0"/>
        <w:autoSpaceDN w:val="0"/>
        <w:adjustRightInd w:val="0"/>
        <w:spacing w:line="360" w:lineRule="auto"/>
        <w:ind w:firstLine="480" w:firstLineChars="200"/>
        <w:jc w:val="left"/>
        <w:rPr>
          <w:rFonts w:hint="eastAsia" w:asciiTheme="majorEastAsia" w:hAnsiTheme="majorEastAsia" w:eastAsiaTheme="majorEastAsia" w:cstheme="majorEastAsia"/>
          <w:b w:val="0"/>
          <w:bCs w:val="0"/>
          <w:color w:val="auto"/>
          <w:kern w:val="44"/>
          <w:sz w:val="24"/>
          <w:szCs w:val="24"/>
          <w:lang w:val="en-US" w:eastAsia="zh-CN" w:bidi="ar-SA"/>
        </w:rPr>
      </w:pPr>
      <w:r>
        <w:rPr>
          <w:rFonts w:hint="eastAsia" w:ascii="Times New Roman" w:hAnsi="Times New Roman" w:eastAsia="宋体" w:cs="Times New Roman"/>
          <w:color w:val="auto"/>
          <w:kern w:val="0"/>
          <w:sz w:val="24"/>
          <w:szCs w:val="21"/>
        </w:rPr>
        <w:t>1. 项目名称：</w:t>
      </w:r>
      <w:r>
        <w:rPr>
          <w:rFonts w:hint="eastAsia" w:asciiTheme="minorEastAsia" w:hAnsiTheme="minorEastAsia" w:eastAsiaTheme="minorEastAsia" w:cstheme="minorEastAsia"/>
          <w:color w:val="auto"/>
          <w:kern w:val="0"/>
          <w:sz w:val="24"/>
          <w:szCs w:val="24"/>
          <w:lang w:val="en-US" w:eastAsia="zh-CN"/>
        </w:rPr>
        <w:t>东莞市凤岗镇博深高速联络线及雁鸣湖路道路工程（一期）项目-给水工程钢管、铸铁管、管件等材料采购</w:t>
      </w:r>
    </w:p>
    <w:p w14:paraId="55853BCE">
      <w:pPr>
        <w:autoSpaceDE w:val="0"/>
        <w:autoSpaceDN w:val="0"/>
        <w:adjustRightInd w:val="0"/>
        <w:spacing w:line="360" w:lineRule="auto"/>
        <w:ind w:firstLine="480" w:firstLineChars="200"/>
        <w:jc w:val="left"/>
        <w:rPr>
          <w:rFonts w:hint="default" w:ascii="Times New Roman" w:hAnsi="Times New Roman" w:eastAsia="宋体" w:cs="Times New Roman"/>
          <w:color w:val="auto"/>
          <w:kern w:val="0"/>
          <w:sz w:val="24"/>
          <w:szCs w:val="21"/>
          <w:highlight w:val="none"/>
          <w:lang w:val="en-US"/>
        </w:rPr>
      </w:pPr>
      <w:r>
        <w:rPr>
          <w:rFonts w:hint="eastAsia" w:ascii="Times New Roman" w:hAnsi="Times New Roman" w:eastAsia="宋体" w:cs="Times New Roman"/>
          <w:color w:val="auto"/>
          <w:kern w:val="0"/>
          <w:sz w:val="24"/>
          <w:szCs w:val="21"/>
          <w:highlight w:val="none"/>
          <w:lang w:val="en-US" w:eastAsia="zh-CN"/>
        </w:rPr>
        <w:t>2.项目地点：东莞市凤岗镇</w:t>
      </w:r>
    </w:p>
    <w:p w14:paraId="753CC59D">
      <w:pPr>
        <w:autoSpaceDE w:val="0"/>
        <w:autoSpaceDN w:val="0"/>
        <w:adjustRightInd w:val="0"/>
        <w:spacing w:line="360" w:lineRule="auto"/>
        <w:jc w:val="left"/>
        <w:rPr>
          <w:rFonts w:ascii="Times New Roman" w:hAnsi="Times New Roman" w:eastAsia="宋体" w:cs="Times New Roman"/>
          <w:b/>
          <w:color w:val="auto"/>
          <w:kern w:val="0"/>
          <w:sz w:val="24"/>
          <w:szCs w:val="21"/>
        </w:rPr>
      </w:pPr>
      <w:r>
        <w:rPr>
          <w:rFonts w:hint="eastAsia" w:ascii="Times New Roman" w:hAnsi="Times New Roman" w:eastAsia="宋体" w:cs="Times New Roman"/>
          <w:b/>
          <w:color w:val="auto"/>
          <w:kern w:val="0"/>
          <w:sz w:val="24"/>
          <w:szCs w:val="21"/>
          <w:lang w:val="en-US" w:eastAsia="zh-CN"/>
        </w:rPr>
        <w:t>二、</w:t>
      </w:r>
      <w:r>
        <w:rPr>
          <w:rFonts w:ascii="Times New Roman" w:hAnsi="Times New Roman" w:eastAsia="宋体" w:cs="Times New Roman"/>
          <w:b/>
          <w:color w:val="auto"/>
          <w:kern w:val="0"/>
          <w:sz w:val="24"/>
          <w:szCs w:val="21"/>
        </w:rPr>
        <w:t>货物</w:t>
      </w:r>
      <w:r>
        <w:rPr>
          <w:rFonts w:hint="eastAsia" w:ascii="Times New Roman" w:hAnsi="Times New Roman" w:eastAsia="宋体" w:cs="Times New Roman"/>
          <w:b/>
          <w:color w:val="auto"/>
          <w:kern w:val="0"/>
          <w:sz w:val="24"/>
          <w:szCs w:val="21"/>
          <w:lang w:val="en-US" w:eastAsia="zh-CN"/>
        </w:rPr>
        <w:t>采购</w:t>
      </w:r>
      <w:r>
        <w:rPr>
          <w:rFonts w:ascii="Times New Roman" w:hAnsi="Times New Roman" w:eastAsia="宋体" w:cs="Times New Roman"/>
          <w:b/>
          <w:color w:val="auto"/>
          <w:kern w:val="0"/>
          <w:sz w:val="24"/>
          <w:szCs w:val="21"/>
        </w:rPr>
        <w:t>需求</w:t>
      </w:r>
    </w:p>
    <w:p w14:paraId="4F2DE529">
      <w:pPr>
        <w:autoSpaceDE w:val="0"/>
        <w:autoSpaceDN w:val="0"/>
        <w:adjustRightInd w:val="0"/>
        <w:spacing w:line="360" w:lineRule="auto"/>
        <w:ind w:firstLine="480" w:firstLineChars="200"/>
        <w:jc w:val="left"/>
        <w:rPr>
          <w:rFonts w:hint="default" w:ascii="Times New Roman" w:hAnsi="Times New Roman" w:eastAsia="宋体" w:cs="Times New Roman"/>
          <w:color w:val="auto"/>
          <w:kern w:val="0"/>
          <w:sz w:val="24"/>
          <w:szCs w:val="21"/>
          <w:lang w:val="en-US" w:eastAsia="zh-CN"/>
        </w:rPr>
      </w:pPr>
      <w:r>
        <w:rPr>
          <w:rFonts w:hint="eastAsia" w:ascii="Times New Roman" w:hAnsi="Times New Roman" w:eastAsia="宋体" w:cs="Times New Roman"/>
          <w:color w:val="auto"/>
          <w:kern w:val="0"/>
          <w:sz w:val="24"/>
          <w:szCs w:val="21"/>
          <w:lang w:val="en-US" w:eastAsia="zh-CN"/>
        </w:rPr>
        <w:t>采购</w:t>
      </w:r>
      <w:r>
        <w:rPr>
          <w:rFonts w:hint="eastAsia" w:ascii="Times New Roman" w:hAnsi="Times New Roman" w:eastAsia="宋体" w:cs="Times New Roman"/>
          <w:color w:val="auto"/>
          <w:kern w:val="0"/>
          <w:sz w:val="24"/>
          <w:szCs w:val="21"/>
        </w:rPr>
        <w:t>货物</w:t>
      </w:r>
      <w:r>
        <w:rPr>
          <w:rFonts w:hint="eastAsia" w:ascii="Times New Roman" w:hAnsi="Times New Roman" w:eastAsia="宋体" w:cs="Times New Roman"/>
          <w:color w:val="auto"/>
          <w:kern w:val="0"/>
          <w:sz w:val="24"/>
          <w:szCs w:val="21"/>
          <w:lang w:val="en-US" w:eastAsia="zh-CN"/>
        </w:rPr>
        <w:t>范围</w:t>
      </w:r>
      <w:r>
        <w:rPr>
          <w:rFonts w:hint="eastAsia" w:ascii="Times New Roman" w:hAnsi="Times New Roman" w:eastAsia="宋体" w:cs="Times New Roman"/>
          <w:color w:val="auto"/>
          <w:kern w:val="0"/>
          <w:sz w:val="24"/>
          <w:szCs w:val="21"/>
        </w:rPr>
        <w:t>，</w:t>
      </w:r>
      <w:r>
        <w:rPr>
          <w:rFonts w:hint="eastAsia" w:ascii="Times New Roman" w:hAnsi="Times New Roman" w:eastAsia="宋体" w:cs="Times New Roman"/>
          <w:color w:val="auto"/>
          <w:kern w:val="0"/>
          <w:sz w:val="24"/>
          <w:szCs w:val="21"/>
          <w:lang w:val="en-US" w:eastAsia="zh-CN"/>
        </w:rPr>
        <w:t>包括给排水工程的钢管及铸铁管等材料采购，其型号及数量</w:t>
      </w:r>
      <w:r>
        <w:rPr>
          <w:rFonts w:hint="eastAsia" w:ascii="Times New Roman" w:hAnsi="Times New Roman" w:eastAsia="宋体" w:cs="Times New Roman"/>
          <w:color w:val="auto"/>
          <w:kern w:val="0"/>
          <w:sz w:val="24"/>
          <w:szCs w:val="21"/>
        </w:rPr>
        <w:t>具体</w:t>
      </w:r>
      <w:r>
        <w:rPr>
          <w:rFonts w:hint="eastAsia" w:ascii="Times New Roman" w:hAnsi="Times New Roman" w:eastAsia="宋体" w:cs="Times New Roman"/>
          <w:color w:val="auto"/>
          <w:kern w:val="0"/>
          <w:sz w:val="24"/>
          <w:szCs w:val="21"/>
          <w:lang w:val="en-US" w:eastAsia="zh-CN"/>
        </w:rPr>
        <w:t>见附件1：</w:t>
      </w:r>
      <w:r>
        <w:rPr>
          <w:rFonts w:hint="eastAsia" w:asciiTheme="minorEastAsia" w:hAnsiTheme="minorEastAsia" w:eastAsiaTheme="minorEastAsia" w:cstheme="minorEastAsia"/>
          <w:color w:val="auto"/>
          <w:kern w:val="0"/>
          <w:sz w:val="24"/>
          <w:szCs w:val="24"/>
          <w:lang w:val="en-US" w:eastAsia="zh-CN"/>
        </w:rPr>
        <w:t>东莞市凤岗镇博深高速联络线及雁鸣湖路道路工程（一期）项目-给水工程钢管、铸铁管、管件等材料采购工程量清单</w:t>
      </w:r>
    </w:p>
    <w:p w14:paraId="757770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color w:val="auto"/>
          <w:highlight w:val="none"/>
        </w:rPr>
      </w:pPr>
    </w:p>
    <w:p w14:paraId="3EC6F93A">
      <w:pPr>
        <w:autoSpaceDE w:val="0"/>
        <w:autoSpaceDN w:val="0"/>
        <w:adjustRightInd w:val="0"/>
        <w:spacing w:line="360" w:lineRule="auto"/>
        <w:jc w:val="left"/>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三、交货要求</w:t>
      </w:r>
    </w:p>
    <w:p w14:paraId="5761290B">
      <w:pPr>
        <w:widowControl/>
        <w:autoSpaceDE w:val="0"/>
        <w:autoSpaceDN w:val="0"/>
        <w:adjustRightInd w:val="0"/>
        <w:spacing w:line="360" w:lineRule="auto"/>
        <w:ind w:right="-172" w:rightChars="-82" w:firstLine="424" w:firstLineChars="177"/>
        <w:jc w:val="left"/>
        <w:rPr>
          <w:rFonts w:ascii="Times New Roman" w:hAnsi="Times New Roman" w:eastAsia="宋体" w:cs="Times New Roman"/>
          <w:color w:val="auto"/>
          <w:kern w:val="0"/>
          <w:sz w:val="24"/>
          <w:szCs w:val="21"/>
          <w:highlight w:val="none"/>
        </w:rPr>
      </w:pPr>
      <w:r>
        <w:rPr>
          <w:rFonts w:ascii="Times New Roman" w:hAnsi="Times New Roman" w:eastAsia="宋体" w:cs="Times New Roman"/>
          <w:color w:val="auto"/>
          <w:kern w:val="0"/>
          <w:sz w:val="24"/>
          <w:szCs w:val="21"/>
          <w:highlight w:val="none"/>
        </w:rPr>
        <w:t>1. 交货期：</w:t>
      </w:r>
      <w:r>
        <w:rPr>
          <w:rFonts w:hint="eastAsia" w:ascii="Times New Roman" w:hAnsi="Times New Roman" w:eastAsia="宋体" w:cs="Times New Roman"/>
          <w:color w:val="auto"/>
          <w:kern w:val="0"/>
          <w:sz w:val="24"/>
          <w:szCs w:val="21"/>
          <w:highlight w:val="none"/>
          <w:lang w:val="en-US" w:eastAsia="zh-CN"/>
        </w:rPr>
        <w:t>分批交货</w:t>
      </w:r>
      <w:r>
        <w:rPr>
          <w:rFonts w:ascii="Times New Roman" w:hAnsi="Times New Roman" w:eastAsia="宋体" w:cs="Times New Roman"/>
          <w:color w:val="auto"/>
          <w:kern w:val="0"/>
          <w:sz w:val="24"/>
          <w:szCs w:val="21"/>
          <w:highlight w:val="none"/>
        </w:rPr>
        <w:t>，</w:t>
      </w:r>
      <w:r>
        <w:rPr>
          <w:rFonts w:hint="eastAsia" w:ascii="Times New Roman" w:hAnsi="Times New Roman" w:eastAsia="宋体" w:cs="Times New Roman"/>
          <w:color w:val="auto"/>
          <w:kern w:val="0"/>
          <w:sz w:val="24"/>
          <w:szCs w:val="21"/>
          <w:highlight w:val="none"/>
          <w:lang w:val="en-US" w:eastAsia="zh-CN"/>
        </w:rPr>
        <w:t>供方</w:t>
      </w:r>
      <w:r>
        <w:rPr>
          <w:rFonts w:ascii="Times New Roman" w:hAnsi="Times New Roman" w:eastAsia="宋体" w:cs="Times New Roman"/>
          <w:color w:val="auto"/>
          <w:kern w:val="0"/>
          <w:sz w:val="24"/>
          <w:szCs w:val="21"/>
          <w:highlight w:val="none"/>
        </w:rPr>
        <w:t>需跟</w:t>
      </w:r>
      <w:r>
        <w:rPr>
          <w:rFonts w:hint="eastAsia" w:ascii="Times New Roman" w:hAnsi="Times New Roman" w:eastAsia="宋体" w:cs="Times New Roman"/>
          <w:color w:val="auto"/>
          <w:kern w:val="0"/>
          <w:sz w:val="24"/>
          <w:szCs w:val="21"/>
          <w:highlight w:val="none"/>
          <w:lang w:val="en-US" w:eastAsia="zh-CN"/>
        </w:rPr>
        <w:t>采购</w:t>
      </w:r>
      <w:r>
        <w:rPr>
          <w:rFonts w:ascii="Times New Roman" w:hAnsi="Times New Roman" w:eastAsia="宋体" w:cs="Times New Roman"/>
          <w:color w:val="auto"/>
          <w:kern w:val="0"/>
          <w:sz w:val="24"/>
          <w:szCs w:val="21"/>
          <w:highlight w:val="none"/>
        </w:rPr>
        <w:t>人</w:t>
      </w:r>
      <w:r>
        <w:rPr>
          <w:rFonts w:hint="eastAsia" w:ascii="Times New Roman" w:hAnsi="Times New Roman" w:eastAsia="宋体" w:cs="Times New Roman"/>
          <w:color w:val="auto"/>
          <w:kern w:val="0"/>
          <w:sz w:val="24"/>
          <w:szCs w:val="21"/>
          <w:highlight w:val="none"/>
          <w:lang w:val="en-US" w:eastAsia="zh-CN"/>
        </w:rPr>
        <w:t>提供的需求量计划</w:t>
      </w:r>
      <w:r>
        <w:rPr>
          <w:rFonts w:ascii="Times New Roman" w:hAnsi="Times New Roman" w:eastAsia="宋体" w:cs="Times New Roman"/>
          <w:color w:val="auto"/>
          <w:kern w:val="0"/>
          <w:sz w:val="24"/>
          <w:szCs w:val="21"/>
          <w:highlight w:val="none"/>
        </w:rPr>
        <w:t>，</w:t>
      </w:r>
      <w:r>
        <w:rPr>
          <w:rFonts w:hint="eastAsia" w:ascii="Times New Roman" w:hAnsi="Times New Roman" w:eastAsia="宋体" w:cs="Times New Roman"/>
          <w:color w:val="auto"/>
          <w:kern w:val="0"/>
          <w:sz w:val="24"/>
          <w:szCs w:val="21"/>
          <w:highlight w:val="none"/>
          <w:lang w:val="en-US" w:eastAsia="zh-CN"/>
        </w:rPr>
        <w:t>按时</w:t>
      </w:r>
      <w:r>
        <w:rPr>
          <w:rFonts w:ascii="Times New Roman" w:hAnsi="Times New Roman" w:eastAsia="宋体" w:cs="Times New Roman"/>
          <w:color w:val="auto"/>
          <w:kern w:val="0"/>
          <w:sz w:val="24"/>
          <w:szCs w:val="21"/>
          <w:highlight w:val="none"/>
        </w:rPr>
        <w:t>交货。</w:t>
      </w:r>
    </w:p>
    <w:p w14:paraId="40418A84">
      <w:pPr>
        <w:widowControl/>
        <w:autoSpaceDE w:val="0"/>
        <w:autoSpaceDN w:val="0"/>
        <w:adjustRightInd w:val="0"/>
        <w:spacing w:line="360" w:lineRule="auto"/>
        <w:ind w:right="-172" w:rightChars="-82" w:firstLine="424" w:firstLineChars="177"/>
        <w:jc w:val="left"/>
        <w:rPr>
          <w:rFonts w:ascii="Times New Roman" w:hAnsi="Times New Roman" w:eastAsia="宋体" w:cs="Times New Roman"/>
          <w:color w:val="auto"/>
          <w:kern w:val="0"/>
          <w:sz w:val="24"/>
          <w:szCs w:val="21"/>
          <w:highlight w:val="none"/>
        </w:rPr>
      </w:pPr>
      <w:r>
        <w:rPr>
          <w:rFonts w:ascii="Times New Roman" w:hAnsi="Times New Roman" w:eastAsia="宋体" w:cs="Times New Roman"/>
          <w:color w:val="auto"/>
          <w:kern w:val="0"/>
          <w:sz w:val="24"/>
          <w:szCs w:val="21"/>
          <w:highlight w:val="none"/>
        </w:rPr>
        <w:t>2. 交货地点：</w:t>
      </w:r>
    </w:p>
    <w:tbl>
      <w:tblPr>
        <w:tblStyle w:val="5"/>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1324"/>
        <w:gridCol w:w="4280"/>
        <w:gridCol w:w="2467"/>
      </w:tblGrid>
      <w:tr w14:paraId="44EB0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13" w:type="dxa"/>
            <w:noWrap/>
            <w:vAlign w:val="center"/>
          </w:tcPr>
          <w:p w14:paraId="64C4219F">
            <w:pPr>
              <w:widowControl/>
              <w:spacing w:line="360" w:lineRule="auto"/>
              <w:jc w:val="center"/>
              <w:rPr>
                <w:rFonts w:ascii="Times New Roman"/>
                <w:b/>
                <w:bCs/>
                <w:color w:val="auto"/>
                <w:szCs w:val="21"/>
                <w:highlight w:val="none"/>
              </w:rPr>
            </w:pPr>
            <w:r>
              <w:rPr>
                <w:rFonts w:ascii="Times New Roman"/>
                <w:b/>
                <w:bCs/>
                <w:color w:val="auto"/>
                <w:szCs w:val="21"/>
                <w:highlight w:val="none"/>
              </w:rPr>
              <w:t>序号</w:t>
            </w:r>
          </w:p>
        </w:tc>
        <w:tc>
          <w:tcPr>
            <w:tcW w:w="1324" w:type="dxa"/>
            <w:vAlign w:val="center"/>
          </w:tcPr>
          <w:p w14:paraId="39073563">
            <w:pPr>
              <w:widowControl/>
              <w:spacing w:line="360" w:lineRule="auto"/>
              <w:jc w:val="center"/>
              <w:rPr>
                <w:rFonts w:ascii="Times New Roman"/>
                <w:b/>
                <w:bCs/>
                <w:color w:val="auto"/>
                <w:szCs w:val="21"/>
                <w:highlight w:val="none"/>
              </w:rPr>
            </w:pPr>
            <w:r>
              <w:rPr>
                <w:rFonts w:hint="eastAsia" w:ascii="Times New Roman"/>
                <w:b/>
                <w:color w:val="auto"/>
                <w:szCs w:val="21"/>
                <w:highlight w:val="none"/>
              </w:rPr>
              <w:t>交货地点</w:t>
            </w:r>
          </w:p>
        </w:tc>
        <w:tc>
          <w:tcPr>
            <w:tcW w:w="4280" w:type="dxa"/>
            <w:vAlign w:val="center"/>
          </w:tcPr>
          <w:p w14:paraId="25B62B9C">
            <w:pPr>
              <w:widowControl/>
              <w:spacing w:line="360" w:lineRule="auto"/>
              <w:jc w:val="center"/>
              <w:rPr>
                <w:rFonts w:ascii="Times New Roman"/>
                <w:b/>
                <w:bCs/>
                <w:color w:val="auto"/>
                <w:szCs w:val="21"/>
                <w:highlight w:val="none"/>
              </w:rPr>
            </w:pPr>
            <w:r>
              <w:rPr>
                <w:rFonts w:hint="eastAsia" w:ascii="Times New Roman"/>
                <w:b/>
                <w:color w:val="auto"/>
                <w:szCs w:val="21"/>
                <w:highlight w:val="none"/>
              </w:rPr>
              <w:t>详细</w:t>
            </w:r>
            <w:r>
              <w:rPr>
                <w:rFonts w:ascii="Times New Roman"/>
                <w:b/>
                <w:color w:val="auto"/>
                <w:szCs w:val="21"/>
                <w:highlight w:val="none"/>
              </w:rPr>
              <w:t>地址</w:t>
            </w:r>
          </w:p>
        </w:tc>
        <w:tc>
          <w:tcPr>
            <w:tcW w:w="2467" w:type="dxa"/>
            <w:vAlign w:val="center"/>
          </w:tcPr>
          <w:p w14:paraId="146C141C">
            <w:pPr>
              <w:widowControl/>
              <w:spacing w:line="360" w:lineRule="auto"/>
              <w:jc w:val="center"/>
              <w:rPr>
                <w:rFonts w:ascii="Times New Roman"/>
                <w:b/>
                <w:bCs/>
                <w:color w:val="auto"/>
                <w:szCs w:val="21"/>
                <w:highlight w:val="none"/>
              </w:rPr>
            </w:pPr>
            <w:r>
              <w:rPr>
                <w:rFonts w:ascii="Times New Roman"/>
                <w:b/>
                <w:bCs/>
                <w:color w:val="auto"/>
                <w:szCs w:val="21"/>
                <w:highlight w:val="none"/>
              </w:rPr>
              <w:t>备注</w:t>
            </w:r>
          </w:p>
        </w:tc>
      </w:tr>
      <w:tr w14:paraId="59FCF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13" w:type="dxa"/>
            <w:shd w:val="clear" w:color="auto" w:fill="auto"/>
            <w:noWrap/>
            <w:vAlign w:val="center"/>
          </w:tcPr>
          <w:p w14:paraId="03D96CE1">
            <w:pPr>
              <w:widowControl/>
              <w:jc w:val="center"/>
              <w:rPr>
                <w:rFonts w:ascii="Times New Roman"/>
                <w:color w:val="FF0000"/>
                <w:szCs w:val="21"/>
                <w:highlight w:val="none"/>
              </w:rPr>
            </w:pPr>
            <w:r>
              <w:rPr>
                <w:rFonts w:ascii="Times New Roman"/>
                <w:color w:val="auto"/>
                <w:szCs w:val="21"/>
              </w:rPr>
              <w:t>1</w:t>
            </w:r>
          </w:p>
        </w:tc>
        <w:tc>
          <w:tcPr>
            <w:tcW w:w="1324" w:type="dxa"/>
            <w:tcBorders>
              <w:right w:val="single" w:color="auto" w:sz="4" w:space="0"/>
            </w:tcBorders>
            <w:shd w:val="clear" w:color="auto" w:fill="auto"/>
            <w:vAlign w:val="center"/>
          </w:tcPr>
          <w:p w14:paraId="17A1AB40">
            <w:pPr>
              <w:widowControl/>
              <w:jc w:val="center"/>
              <w:rPr>
                <w:rFonts w:hint="default" w:ascii="Times New Roman"/>
                <w:color w:val="FF0000"/>
                <w:szCs w:val="21"/>
                <w:highlight w:val="none"/>
                <w:lang w:val="en-US"/>
              </w:rPr>
            </w:pPr>
            <w:r>
              <w:rPr>
                <w:rFonts w:hint="eastAsia" w:ascii="Times New Roman"/>
                <w:color w:val="auto"/>
                <w:szCs w:val="21"/>
                <w:lang w:val="en-US" w:eastAsia="zh-CN"/>
              </w:rPr>
              <w:t>东莞凤岗镇</w:t>
            </w:r>
          </w:p>
        </w:tc>
        <w:tc>
          <w:tcPr>
            <w:tcW w:w="4280" w:type="dxa"/>
            <w:shd w:val="clear" w:color="auto" w:fill="auto"/>
            <w:vAlign w:val="center"/>
          </w:tcPr>
          <w:p w14:paraId="736707C7">
            <w:pPr>
              <w:widowControl/>
              <w:tabs>
                <w:tab w:val="left" w:pos="669"/>
              </w:tabs>
              <w:jc w:val="center"/>
              <w:rPr>
                <w:rFonts w:hint="default" w:ascii="Times New Roman" w:eastAsia="宋体"/>
                <w:color w:val="FF0000"/>
                <w:szCs w:val="21"/>
                <w:highlight w:val="none"/>
                <w:lang w:val="en-US" w:eastAsia="zh-CN"/>
              </w:rPr>
            </w:pPr>
            <w:r>
              <w:rPr>
                <w:rFonts w:hint="eastAsia" w:ascii="Times New Roman"/>
                <w:color w:val="auto"/>
                <w:szCs w:val="21"/>
                <w:lang w:val="en-US" w:eastAsia="zh-CN"/>
              </w:rPr>
              <w:t>/</w:t>
            </w:r>
          </w:p>
        </w:tc>
        <w:tc>
          <w:tcPr>
            <w:tcW w:w="2467" w:type="dxa"/>
            <w:shd w:val="clear" w:color="auto" w:fill="auto"/>
            <w:vAlign w:val="center"/>
          </w:tcPr>
          <w:p w14:paraId="07F6BB61">
            <w:pPr>
              <w:widowControl/>
              <w:jc w:val="left"/>
              <w:rPr>
                <w:rFonts w:hint="default" w:ascii="Times New Roman" w:eastAsia="宋体"/>
                <w:color w:val="FF0000"/>
                <w:szCs w:val="21"/>
                <w:highlight w:val="none"/>
                <w:lang w:val="en-US" w:eastAsia="zh-CN"/>
              </w:rPr>
            </w:pPr>
            <w:r>
              <w:rPr>
                <w:rFonts w:hint="eastAsia" w:ascii="Times New Roman"/>
                <w:b w:val="0"/>
                <w:bCs w:val="0"/>
                <w:color w:val="auto"/>
                <w:sz w:val="24"/>
                <w:szCs w:val="24"/>
                <w:lang w:val="en-US" w:eastAsia="zh-CN"/>
              </w:rPr>
              <w:t>/</w:t>
            </w:r>
          </w:p>
        </w:tc>
      </w:tr>
    </w:tbl>
    <w:p w14:paraId="5B33F1B5">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2.1在货物移交给人并经采购人验收合格前，货物的损耗、毁损、灭失的风险和责任均由供应商自行承担。</w:t>
      </w:r>
    </w:p>
    <w:p w14:paraId="09968540">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2.2 供货数量超过本合同数量10%时，供方应当书面通知采购人项目部并及时报采购人成本部进行确认和审核，经采购人成本部核准后方可供货，否则，采购人对于超额供货的不予确认和支付货款，一切责任由供方自行承担。</w:t>
      </w:r>
    </w:p>
    <w:p w14:paraId="4CF114DF">
      <w:pPr>
        <w:spacing w:line="360" w:lineRule="auto"/>
        <w:ind w:firstLine="480" w:firstLineChars="200"/>
        <w:rPr>
          <w:rFonts w:hint="default"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2.3交货联系人：许立华；联系电话：15099789118。</w:t>
      </w:r>
    </w:p>
    <w:p w14:paraId="65993B30">
      <w:pPr>
        <w:ind w:firstLine="480"/>
        <w:rPr>
          <w:rFonts w:hint="default" w:ascii="Times New Roman" w:hAnsi="Times New Roman" w:eastAsia="宋体" w:cs="Times New Roman"/>
          <w:b w:val="0"/>
          <w:bCs w:val="0"/>
          <w:color w:val="auto"/>
          <w:kern w:val="0"/>
          <w:sz w:val="24"/>
          <w:szCs w:val="21"/>
          <w:highlight w:val="none"/>
          <w:lang w:val="en-US" w:eastAsia="zh-CN" w:bidi="ar-SA"/>
        </w:rPr>
      </w:pPr>
    </w:p>
    <w:p w14:paraId="2CFC7D60">
      <w:pPr>
        <w:autoSpaceDE w:val="0"/>
        <w:autoSpaceDN w:val="0"/>
        <w:adjustRightInd w:val="0"/>
        <w:spacing w:line="360" w:lineRule="auto"/>
        <w:jc w:val="left"/>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四、技术要求</w:t>
      </w:r>
    </w:p>
    <w:p w14:paraId="705C6F58">
      <w:pPr>
        <w:numPr>
          <w:ilvl w:val="0"/>
          <w:numId w:val="0"/>
        </w:numPr>
        <w:spacing w:line="360" w:lineRule="auto"/>
        <w:ind w:firstLine="480" w:firstLineChars="200"/>
        <w:rPr>
          <w:rFonts w:hint="eastAsia" w:ascii="宋体" w:hAnsi="宋体"/>
          <w:sz w:val="24"/>
          <w:lang w:val="en-US" w:eastAsia="zh-CN"/>
        </w:rPr>
      </w:pPr>
      <w:r>
        <w:rPr>
          <w:rFonts w:hint="eastAsia" w:ascii="宋体" w:hAnsi="宋体"/>
          <w:sz w:val="24"/>
          <w:lang w:val="en-US" w:eastAsia="zh-CN"/>
        </w:rPr>
        <w:t>本图册中管径DN≥DN200给水管采用K9级球墨铸铁管，管件采用K12级管件，管材质量应符合《水及燃气管道用球墨铸铁管、管件和附件》(GB/T13295-2013)要求，接口滑入式 ；过路、过桥管采用焊接钢管直缝卷焊，采用强度不低于Q235B牌号材料。钢管管材、管件公称压力为1.0MPa，采用焊接方式连接；设计阀门井、排气阀井、排泥阀井中阀体与管道均采用法兰连接，不同管材之间采用法兰连接转换。钢管壁厚为:DN200管道壁厚为6mm,DN400、DN500和DN600管道壁厚为9mm。钢制管配件原则采用国家标准件或用国家标准件进行切割加工。国家标准件尺寸参数等详见国标图集《钢制管件》02S403.钢管配件的制作、焊接、检验、施工及验收应满足《给水排水管道工程施工及验收规范》(GB50268-2008)、《现场设备，工业管道焊接工程施工质量验收规范》(GB50683-2011)和《工业金属管道工程施工规范》(GB 50235-2010)。</w:t>
      </w:r>
    </w:p>
    <w:p w14:paraId="51708BCB">
      <w:pPr>
        <w:numPr>
          <w:ilvl w:val="0"/>
          <w:numId w:val="0"/>
        </w:numPr>
        <w:spacing w:line="360" w:lineRule="auto"/>
        <w:ind w:firstLine="480" w:firstLineChars="200"/>
        <w:rPr>
          <w:rFonts w:hint="eastAsia" w:ascii="宋体" w:hAnsi="宋体"/>
          <w:sz w:val="24"/>
          <w:lang w:val="en-US" w:eastAsia="zh-CN"/>
        </w:rPr>
      </w:pPr>
      <w:r>
        <w:rPr>
          <w:rFonts w:hint="eastAsia" w:ascii="宋体" w:hAnsi="宋体"/>
          <w:sz w:val="24"/>
          <w:lang w:val="en-US" w:eastAsia="zh-CN"/>
        </w:rPr>
        <w:t xml:space="preserve">钢管及配件焊接要求： </w:t>
      </w:r>
    </w:p>
    <w:p w14:paraId="0C6308B5">
      <w:pPr>
        <w:numPr>
          <w:ilvl w:val="0"/>
          <w:numId w:val="0"/>
        </w:numPr>
        <w:spacing w:line="360" w:lineRule="auto"/>
        <w:ind w:firstLine="480" w:firstLineChars="200"/>
        <w:rPr>
          <w:rFonts w:hint="eastAsia" w:ascii="宋体" w:hAnsi="宋体"/>
          <w:sz w:val="24"/>
          <w:lang w:val="en-US" w:eastAsia="zh-CN"/>
        </w:rPr>
      </w:pPr>
      <w:r>
        <w:rPr>
          <w:rFonts w:hint="eastAsia" w:ascii="宋体" w:hAnsi="宋体"/>
          <w:sz w:val="24"/>
          <w:lang w:val="en-US" w:eastAsia="zh-CN"/>
        </w:rPr>
        <w:t xml:space="preserve">1）焊接时选择合理的焊接顺序，以减少钢结构中产生的焊接应力和焊接变形，角焊缝的焊脚尺寸hf(mm)不得大于1.5t,t为较厚焊接厚度，也不宜小于较薄焊接厚度的1.2倍； </w:t>
      </w:r>
    </w:p>
    <w:p w14:paraId="3FA72901">
      <w:pPr>
        <w:numPr>
          <w:ilvl w:val="0"/>
          <w:numId w:val="0"/>
        </w:numPr>
        <w:spacing w:line="360" w:lineRule="auto"/>
        <w:ind w:firstLine="480" w:firstLineChars="200"/>
        <w:rPr>
          <w:rFonts w:hint="eastAsia" w:ascii="宋体" w:hAnsi="宋体"/>
          <w:sz w:val="24"/>
          <w:lang w:val="en-US" w:eastAsia="zh-CN"/>
        </w:rPr>
      </w:pPr>
      <w:r>
        <w:rPr>
          <w:rFonts w:hint="eastAsia" w:ascii="宋体" w:hAnsi="宋体"/>
          <w:sz w:val="24"/>
          <w:lang w:val="en-US" w:eastAsia="zh-CN"/>
        </w:rPr>
        <w:t xml:space="preserve">2）未注明的焊接一律为满焊，hf=6mm; </w:t>
      </w:r>
    </w:p>
    <w:p w14:paraId="72759611">
      <w:pPr>
        <w:numPr>
          <w:ilvl w:val="0"/>
          <w:numId w:val="0"/>
        </w:numPr>
        <w:spacing w:line="360" w:lineRule="auto"/>
        <w:ind w:firstLine="480" w:firstLineChars="200"/>
        <w:rPr>
          <w:rFonts w:hint="eastAsia" w:ascii="宋体" w:hAnsi="宋体"/>
          <w:sz w:val="24"/>
          <w:lang w:val="en-US" w:eastAsia="zh-CN"/>
        </w:rPr>
      </w:pPr>
      <w:r>
        <w:rPr>
          <w:rFonts w:hint="eastAsia" w:ascii="宋体" w:hAnsi="宋体"/>
          <w:sz w:val="24"/>
          <w:lang w:val="en-US" w:eastAsia="zh-CN"/>
        </w:rPr>
        <w:t xml:space="preserve">3）焊接质量等级：两相邻件的对接焊缝位置错开距离应不小于20mm，焊缝质量达到的《钢结构工程施工质量验收标准》(GB50205-2020)按二级焊缝质量等级要求执行； </w:t>
      </w:r>
    </w:p>
    <w:p w14:paraId="3437E9AF">
      <w:pPr>
        <w:numPr>
          <w:ilvl w:val="0"/>
          <w:numId w:val="0"/>
        </w:numPr>
        <w:spacing w:line="360" w:lineRule="auto"/>
        <w:ind w:firstLine="480" w:firstLineChars="200"/>
        <w:rPr>
          <w:rFonts w:hint="eastAsia" w:ascii="宋体" w:hAnsi="宋体"/>
          <w:sz w:val="24"/>
          <w:lang w:val="en-US" w:eastAsia="zh-CN"/>
        </w:rPr>
      </w:pPr>
      <w:r>
        <w:rPr>
          <w:rFonts w:hint="eastAsia" w:ascii="宋体" w:hAnsi="宋体"/>
          <w:sz w:val="24"/>
          <w:lang w:val="en-US" w:eastAsia="zh-CN"/>
        </w:rPr>
        <w:t xml:space="preserve">4）钢结构的制作与安装时，应严格按照国家规范《钢结构焊接规范》 </w:t>
      </w:r>
    </w:p>
    <w:p w14:paraId="4C42A38D">
      <w:pPr>
        <w:numPr>
          <w:ilvl w:val="0"/>
          <w:numId w:val="0"/>
        </w:numPr>
        <w:spacing w:line="360" w:lineRule="auto"/>
        <w:rPr>
          <w:rFonts w:hint="eastAsia" w:ascii="宋体" w:hAnsi="宋体"/>
          <w:sz w:val="24"/>
          <w:lang w:val="en-US" w:eastAsia="zh-CN"/>
        </w:rPr>
      </w:pPr>
      <w:r>
        <w:rPr>
          <w:rFonts w:hint="eastAsia" w:ascii="宋体" w:hAnsi="宋体"/>
          <w:sz w:val="24"/>
          <w:lang w:val="en-US" w:eastAsia="zh-CN"/>
        </w:rPr>
        <w:t xml:space="preserve">(GB50661-2011)及《钢结构工程施工质量验收标准》(GB50205-2020)进行； </w:t>
      </w:r>
    </w:p>
    <w:p w14:paraId="6268B86D">
      <w:pPr>
        <w:numPr>
          <w:ilvl w:val="0"/>
          <w:numId w:val="0"/>
        </w:numPr>
        <w:spacing w:line="360" w:lineRule="auto"/>
        <w:ind w:firstLine="480" w:firstLineChars="200"/>
        <w:rPr>
          <w:rFonts w:hint="eastAsia" w:ascii="宋体" w:hAnsi="宋体"/>
          <w:sz w:val="24"/>
          <w:lang w:val="en-US" w:eastAsia="zh-CN"/>
        </w:rPr>
      </w:pPr>
      <w:r>
        <w:rPr>
          <w:rFonts w:hint="eastAsia" w:ascii="宋体" w:hAnsi="宋体"/>
          <w:sz w:val="24"/>
          <w:lang w:val="en-US" w:eastAsia="zh-CN"/>
        </w:rPr>
        <w:t>5）焊缝无损探伤检验： 本工程埋地钢管的探伤按照10%超声波探伤检验，超声波探伤检验按《焊缝无损检测超声检测技术、检测等级和评定》(GB/T 11345-2013)执行，检测等级为A,10%超声检测的焊缝质量不应低于现行行业标准《承压设备无损检测 第3部分：超声检测》NB/T 47013.3-2023规定的1级。</w:t>
      </w:r>
    </w:p>
    <w:p w14:paraId="06ECAC4A">
      <w:pPr>
        <w:numPr>
          <w:ilvl w:val="0"/>
          <w:numId w:val="0"/>
        </w:numPr>
        <w:spacing w:line="360" w:lineRule="auto"/>
        <w:ind w:firstLine="480" w:firstLineChars="200"/>
        <w:rPr>
          <w:rFonts w:hint="eastAsia" w:ascii="宋体" w:hAnsi="宋体"/>
          <w:b/>
          <w:bCs/>
          <w:sz w:val="24"/>
          <w:lang w:val="en-US" w:eastAsia="zh-CN"/>
        </w:rPr>
      </w:pPr>
      <w:r>
        <w:rPr>
          <w:rFonts w:hint="eastAsia" w:ascii="宋体" w:hAnsi="宋体"/>
          <w:sz w:val="24"/>
          <w:lang w:val="en-US" w:eastAsia="zh-CN"/>
        </w:rPr>
        <w:t xml:space="preserve">6)钢管应采用喷砂除锈处理，除锈等级达到《涂装前钢材表面锈蚀等级和除锈等级》(GB/T 8923)中规定的Sa2.5级。 </w:t>
      </w:r>
      <w:r>
        <w:rPr>
          <w:rFonts w:hint="eastAsia" w:ascii="宋体" w:hAnsi="宋体"/>
          <w:b/>
          <w:bCs/>
          <w:sz w:val="24"/>
          <w:lang w:val="en-US" w:eastAsia="zh-CN"/>
        </w:rPr>
        <w:t xml:space="preserve"> </w:t>
      </w:r>
    </w:p>
    <w:p w14:paraId="2D5A6F56">
      <w:pPr>
        <w:numPr>
          <w:ilvl w:val="0"/>
          <w:numId w:val="0"/>
        </w:numPr>
        <w:spacing w:line="360" w:lineRule="auto"/>
        <w:rPr>
          <w:rFonts w:hint="eastAsia" w:ascii="宋体" w:hAnsi="宋体"/>
          <w:sz w:val="24"/>
          <w:lang w:val="en-US" w:eastAsia="zh-CN"/>
        </w:rPr>
      </w:pPr>
      <w:r>
        <w:rPr>
          <w:rFonts w:hint="eastAsia" w:ascii="宋体" w:hAnsi="宋体"/>
          <w:sz w:val="24"/>
          <w:lang w:val="en-US" w:eastAsia="zh-CN"/>
        </w:rPr>
        <w:t xml:space="preserve">   焊接钢管管件均采用内衬水泥砂浆加食品级聚氨酯防腐进行内防腐。埋地焊接钢管管件应按国标要求进行特加强级(六油二布)环氧煤沥青涂料外防腐。应采用双面焊接，坡口形式必须开双面30度角坡口。焊缝应进行第三方无损探伤检测，遵照《金属熔化焊焊接接头射线照相》执行，射线探伤等级≥Ⅲ级。管道施工应符合现行国家标准《现场设备，工业管道焊接工程施工质量验收规范》(GB 50683-2011)和《工业金属管道工程施工规范》(GB50235-2010)。 </w:t>
      </w:r>
    </w:p>
    <w:p w14:paraId="32D24A34">
      <w:pPr>
        <w:numPr>
          <w:ilvl w:val="0"/>
          <w:numId w:val="0"/>
        </w:numPr>
        <w:spacing w:line="360" w:lineRule="auto"/>
        <w:rPr>
          <w:rFonts w:hint="eastAsia" w:ascii="宋体" w:hAnsi="宋体"/>
          <w:sz w:val="24"/>
          <w:lang w:val="en-US" w:eastAsia="zh-CN"/>
        </w:rPr>
      </w:pPr>
      <w:r>
        <w:rPr>
          <w:rFonts w:hint="eastAsia" w:ascii="宋体" w:hAnsi="宋体"/>
          <w:sz w:val="24"/>
          <w:lang w:val="en-US" w:eastAsia="zh-CN"/>
        </w:rPr>
        <w:t xml:space="preserve"> 球墨铸铁管内壁采用离心法喷涂水泥砂浆防腐；管外壁涂锌，涂锌后，管子涂敷以含沥青质的或与锌亲和作用好的环氧煤沥青为最终保护层。涂覆前铸管(件)整体内外表面光洁、无铁锈和杂物。内表面除砂锈后质量等级要求达SYJ4007-86规范中St3级。涂覆后铸管(件)整体内外表面光洁、涂层均匀、粘附性好、不起皮。</w:t>
      </w:r>
    </w:p>
    <w:p w14:paraId="3E5D278A">
      <w:pPr>
        <w:spacing w:line="360" w:lineRule="auto"/>
        <w:ind w:firstLine="480" w:firstLineChars="200"/>
        <w:rPr>
          <w:rFonts w:hint="default"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3、其他未尽述的要求，均须满足国家、行业、地方规程、规范要求及设计图纸的要求。</w:t>
      </w:r>
    </w:p>
    <w:p w14:paraId="582E9879">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p>
    <w:p w14:paraId="7BB1FCE9">
      <w:pPr>
        <w:autoSpaceDE w:val="0"/>
        <w:autoSpaceDN w:val="0"/>
        <w:adjustRightInd w:val="0"/>
        <w:spacing w:line="360" w:lineRule="auto"/>
        <w:jc w:val="left"/>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五、质量与验收要求</w:t>
      </w:r>
    </w:p>
    <w:p w14:paraId="6EBDD73F">
      <w:pPr>
        <w:numPr>
          <w:ilvl w:val="0"/>
          <w:numId w:val="0"/>
        </w:numPr>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供方所供货物须符合国家现行有效的法律法规、行业规范及相关的质量标准并达到使用要求。供方提供的货物必须是原厂生产的、非组装的、全新的、未使用过的货物(含零部件、配件、随机工具等)，随机配备的所有配件必须为原厂原配，表面无划伤、无碰撞的痕迹。有原厂包装的，应附有合格证、货物出厂质量合格证明书、技术说明等;如是加工制品应当按采购清单材料要求制作，提供相关材料的合格证、货物出厂质量合格证明书等相关证明资料，按国家相关法律法规的规定提供加工制品的出厂检验、检测报告等相关证明资料。</w:t>
      </w:r>
    </w:p>
    <w:p w14:paraId="0F1CFF54">
      <w:pPr>
        <w:numPr>
          <w:ilvl w:val="0"/>
          <w:numId w:val="0"/>
        </w:numPr>
        <w:spacing w:line="360" w:lineRule="auto"/>
        <w:ind w:firstLine="480" w:firstLineChars="200"/>
        <w:rPr>
          <w:rFonts w:hint="eastAsia" w:ascii="宋体" w:hAnsi="宋体" w:eastAsia="宋体" w:cs="Times New Roman"/>
          <w:sz w:val="24"/>
          <w:lang w:val="en-US" w:eastAsia="zh-CN"/>
        </w:rPr>
      </w:pPr>
      <w:r>
        <w:rPr>
          <w:rFonts w:hint="eastAsia" w:ascii="宋体" w:hAnsi="宋体" w:eastAsia="宋体" w:cs="Times New Roman"/>
          <w:sz w:val="24"/>
          <w:lang w:val="en-US" w:eastAsia="zh-CN"/>
        </w:rPr>
        <w:t>供方提供的货物运输到达交货地点时的包装必须是完整的，由采购方签收后方可拆包安装。</w:t>
      </w:r>
    </w:p>
    <w:p w14:paraId="00403165">
      <w:pPr>
        <w:numPr>
          <w:ilvl w:val="0"/>
          <w:numId w:val="0"/>
        </w:numPr>
        <w:spacing w:line="360" w:lineRule="auto"/>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宋体" w:hAnsi="宋体" w:eastAsia="宋体" w:cs="Times New Roman"/>
          <w:sz w:val="24"/>
          <w:lang w:val="en-US" w:eastAsia="zh-CN"/>
        </w:rPr>
        <w:t>供方提供的货物保障须按备件出厂的标准包装，但应考虑到防漏、防潮、防震、防盗和可能会发生的野蛮装卸等运输及多次装卸之需要。货物开箱后，如采购方发现有任何质量问题(如外观有损伤)，供方必须立即以同样型号的货物在采购方限定的时间内更换。</w:t>
      </w:r>
    </w:p>
    <w:p w14:paraId="384D3C4F">
      <w:pPr>
        <w:autoSpaceDE w:val="0"/>
        <w:autoSpaceDN w:val="0"/>
        <w:adjustRightInd w:val="0"/>
        <w:spacing w:line="360" w:lineRule="auto"/>
        <w:jc w:val="left"/>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六、质保期要求</w:t>
      </w:r>
    </w:p>
    <w:p w14:paraId="3A83DC45">
      <w:pPr>
        <w:spacing w:line="356" w:lineRule="exact"/>
        <w:ind w:firstLine="480" w:firstLineChars="200"/>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val="0"/>
          <w:bCs w:val="0"/>
          <w:color w:val="auto"/>
          <w:kern w:val="0"/>
          <w:sz w:val="24"/>
          <w:szCs w:val="21"/>
          <w:highlight w:val="none"/>
          <w:lang w:val="en-US" w:eastAsia="zh-CN" w:bidi="ar-SA"/>
        </w:rPr>
        <w:t>质保期为自验收合格之日起2年，自验收合格之日起计算。</w:t>
      </w:r>
    </w:p>
    <w:p w14:paraId="0353A92B">
      <w:pPr>
        <w:autoSpaceDE w:val="0"/>
        <w:autoSpaceDN w:val="0"/>
        <w:adjustRightInd w:val="0"/>
        <w:spacing w:line="360" w:lineRule="auto"/>
        <w:jc w:val="left"/>
        <w:rPr>
          <w:rFonts w:hint="eastAsia" w:ascii="Times New Roman" w:hAnsi="Times New Roman" w:eastAsia="宋体" w:cs="Times New Roman"/>
          <w:b/>
          <w:color w:val="auto"/>
          <w:kern w:val="0"/>
          <w:sz w:val="24"/>
          <w:szCs w:val="21"/>
          <w:lang w:val="en-US" w:eastAsia="zh-CN"/>
        </w:rPr>
      </w:pPr>
      <w:r>
        <w:rPr>
          <w:rFonts w:hint="eastAsia" w:ascii="Times New Roman" w:hAnsi="Times New Roman" w:eastAsia="宋体" w:cs="Times New Roman"/>
          <w:b/>
          <w:color w:val="auto"/>
          <w:kern w:val="0"/>
          <w:sz w:val="24"/>
          <w:szCs w:val="21"/>
          <w:lang w:val="en-US" w:eastAsia="zh-CN"/>
        </w:rPr>
        <w:t>七、报价及款项支付</w:t>
      </w:r>
    </w:p>
    <w:p w14:paraId="6C3EF2C2">
      <w:pPr>
        <w:spacing w:line="356" w:lineRule="exact"/>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7.1.费用范围</w:t>
      </w:r>
    </w:p>
    <w:p w14:paraId="7F78999B">
      <w:pPr>
        <w:spacing w:line="356" w:lineRule="exact"/>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不含税单价已包括售价、运输费、装车费、人工费、管外厂家标识印制费等所有费用。</w:t>
      </w:r>
    </w:p>
    <w:p w14:paraId="373F0B51">
      <w:pPr>
        <w:spacing w:line="356" w:lineRule="exact"/>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7.2.付款方式</w:t>
      </w:r>
    </w:p>
    <w:p w14:paraId="21A4AEBB">
      <w:pPr>
        <w:spacing w:line="356" w:lineRule="exact"/>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7.2.1本合同下所有款项均使用人民币支付。</w:t>
      </w:r>
    </w:p>
    <w:p w14:paraId="2944473D">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r>
        <w:rPr>
          <w:rFonts w:hint="eastAsia" w:ascii="Times New Roman" w:hAnsi="Times New Roman" w:eastAsia="宋体" w:cs="Times New Roman"/>
          <w:b w:val="0"/>
          <w:bCs w:val="0"/>
          <w:color w:val="auto"/>
          <w:kern w:val="0"/>
          <w:sz w:val="24"/>
          <w:szCs w:val="21"/>
          <w:highlight w:val="none"/>
          <w:lang w:val="en-US" w:eastAsia="zh-CN" w:bidi="ar-SA"/>
        </w:rPr>
        <w:t>7.2.2货物结算款：</w:t>
      </w:r>
      <w:r>
        <w:rPr>
          <w:rFonts w:hint="eastAsia" w:ascii="宋体" w:hAnsi="宋体" w:eastAsia="宋体" w:cs="宋体"/>
          <w:sz w:val="24"/>
          <w:szCs w:val="24"/>
          <w:lang w:val="en-US" w:eastAsia="zh-CN"/>
        </w:rPr>
        <w:t>乙方在次月10日前向甲方提交上月</w:t>
      </w:r>
      <w:r>
        <w:rPr>
          <w:rFonts w:hint="eastAsia" w:ascii="宋体" w:hAnsi="宋体" w:cs="宋体"/>
          <w:sz w:val="24"/>
          <w:szCs w:val="24"/>
          <w:lang w:val="en-US" w:eastAsia="zh-CN"/>
        </w:rPr>
        <w:t>材料</w:t>
      </w:r>
      <w:r>
        <w:rPr>
          <w:rFonts w:hint="eastAsia" w:ascii="宋体" w:hAnsi="宋体" w:eastAsia="宋体" w:cs="宋体"/>
          <w:sz w:val="24"/>
          <w:szCs w:val="24"/>
          <w:lang w:val="en-US" w:eastAsia="zh-CN"/>
        </w:rPr>
        <w:t>费的请款资料（</w:t>
      </w:r>
      <w:r>
        <w:rPr>
          <w:rFonts w:hint="eastAsia" w:ascii="宋体" w:hAnsi="宋体" w:cs="宋体"/>
          <w:sz w:val="24"/>
          <w:szCs w:val="24"/>
          <w:lang w:val="en-US" w:eastAsia="zh-CN"/>
        </w:rPr>
        <w:t>供应货物质量验收合格、资料齐全</w:t>
      </w:r>
      <w:r>
        <w:rPr>
          <w:rFonts w:hint="eastAsia" w:ascii="宋体" w:hAnsi="宋体" w:eastAsia="宋体" w:cs="宋体"/>
          <w:sz w:val="24"/>
          <w:szCs w:val="24"/>
          <w:lang w:val="en-US" w:eastAsia="zh-CN"/>
        </w:rPr>
        <w:t>才能办理请款），甲方在收</w:t>
      </w:r>
      <w:r>
        <w:rPr>
          <w:rFonts w:hint="eastAsia" w:ascii="宋体" w:hAnsi="宋体" w:cs="宋体"/>
          <w:sz w:val="24"/>
          <w:szCs w:val="24"/>
          <w:lang w:val="en-US" w:eastAsia="zh-CN"/>
        </w:rPr>
        <w:t>到</w:t>
      </w:r>
      <w:r>
        <w:rPr>
          <w:rFonts w:hint="eastAsia" w:ascii="宋体" w:hAnsi="宋体" w:eastAsia="宋体" w:cs="宋体"/>
          <w:sz w:val="24"/>
          <w:szCs w:val="24"/>
          <w:lang w:val="en-US" w:eastAsia="zh-CN"/>
        </w:rPr>
        <w:t>乙方的请款资料后进行核实，核实无误后30个工作日内支付</w:t>
      </w:r>
      <w:r>
        <w:rPr>
          <w:rFonts w:hint="eastAsia" w:ascii="宋体" w:hAnsi="宋体" w:cs="宋体"/>
          <w:sz w:val="24"/>
          <w:szCs w:val="24"/>
          <w:lang w:val="en-US" w:eastAsia="zh-CN"/>
        </w:rPr>
        <w:t>80%</w:t>
      </w:r>
      <w:r>
        <w:rPr>
          <w:rFonts w:hint="eastAsia" w:ascii="宋体" w:hAnsi="宋体" w:eastAsia="宋体" w:cs="宋体"/>
          <w:sz w:val="24"/>
          <w:szCs w:val="24"/>
          <w:lang w:val="en-US" w:eastAsia="zh-CN"/>
        </w:rPr>
        <w:t>的</w:t>
      </w:r>
      <w:r>
        <w:rPr>
          <w:rFonts w:hint="eastAsia" w:ascii="Times New Roman" w:hAnsi="Times New Roman" w:eastAsia="宋体" w:cs="Times New Roman"/>
          <w:b w:val="0"/>
          <w:bCs w:val="0"/>
          <w:color w:val="auto"/>
          <w:kern w:val="0"/>
          <w:sz w:val="24"/>
          <w:szCs w:val="21"/>
          <w:highlight w:val="none"/>
          <w:lang w:val="en-US" w:eastAsia="zh-CN" w:bidi="ar-SA"/>
        </w:rPr>
        <w:t>货款。待货物供应完毕，并经甲方验收合格后，乙方向甲方申请办理结算，甲方在收到乙方提交的结算书30天内完成结算审核，经甲方成本部复审的结算价为货物的最终结算价款，双方按最终结算价款办理最终结算事宜，支付到结算总价的100%。</w:t>
      </w:r>
    </w:p>
    <w:p w14:paraId="043A226F">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p>
    <w:p w14:paraId="34ECC718">
      <w:pPr>
        <w:spacing w:line="360" w:lineRule="auto"/>
        <w:ind w:firstLine="480" w:firstLineChars="200"/>
        <w:rPr>
          <w:rFonts w:hint="eastAsia" w:ascii="Times New Roman" w:hAnsi="Times New Roman" w:eastAsia="宋体" w:cs="Times New Roman"/>
          <w:b w:val="0"/>
          <w:bCs w:val="0"/>
          <w:color w:val="auto"/>
          <w:kern w:val="0"/>
          <w:sz w:val="24"/>
          <w:szCs w:val="21"/>
          <w:highlight w:val="none"/>
          <w:lang w:val="en-US" w:eastAsia="zh-CN" w:bidi="ar-SA"/>
        </w:rPr>
      </w:pPr>
    </w:p>
    <w:p w14:paraId="67E29FAB">
      <w:pPr>
        <w:rPr>
          <w:color w:val="auto"/>
          <w:highlight w:val="none"/>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69A0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-36195</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599934">
                          <w:pPr>
                            <w:pStyle w:val="4"/>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2.85pt;height:144pt;width:144pt;mso-position-horizontal:center;mso-position-horizontal-relative:margin;mso-wrap-style:none;z-index:251659264;mso-width-relative:page;mso-height-relative:page;" filled="f" stroked="f" coordsize="21600,21600" o:gfxdata="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eIcAetUAAAAHAQAADwAAAAAAAAABACAAAAAiAAAAZHJzL2Rvd25yZXYueG1sUEsBAhQAFAAA&#10;AAgAh07iQAVhjD8rAgAAVQQAAA4AAAAAAAAAAQAgAAAAJAEAAGRycy9lMm9Eb2MueG1sUEsFBgAA&#10;AAAGAAYAWQEAAMEFAAAAAA==&#10;">
              <v:fill on="f" focussize="0,0"/>
              <v:stroke on="f" weight="0.5pt"/>
              <v:imagedata o:title=""/>
              <o:lock v:ext="edit" aspectratio="f"/>
              <v:textbox inset="0mm,0mm,0mm,0mm" style="mso-fit-shape-to-text:t;">
                <w:txbxContent>
                  <w:p w14:paraId="26599934">
                    <w:pPr>
                      <w:pStyle w:val="4"/>
                    </w:pPr>
                    <w:r>
                      <w:rPr>
                        <w:rFonts w:hint="eastAsia" w:ascii="仿宋_GB2312" w:hAnsi="仿宋_GB2312" w:eastAsia="仿宋_GB2312" w:cs="仿宋_GB2312"/>
                        <w:sz w:val="26"/>
                        <w:szCs w:val="26"/>
                      </w:rPr>
                      <w:fldChar w:fldCharType="begin"/>
                    </w:r>
                    <w:r>
                      <w:rPr>
                        <w:rFonts w:hint="eastAsia" w:ascii="仿宋_GB2312" w:hAnsi="仿宋_GB2312" w:eastAsia="仿宋_GB2312" w:cs="仿宋_GB2312"/>
                        <w:sz w:val="26"/>
                        <w:szCs w:val="26"/>
                      </w:rPr>
                      <w:instrText xml:space="preserve"> PAGE  \* MERGEFORMAT </w:instrText>
                    </w:r>
                    <w:r>
                      <w:rPr>
                        <w:rFonts w:hint="eastAsia" w:ascii="仿宋_GB2312" w:hAnsi="仿宋_GB2312" w:eastAsia="仿宋_GB2312" w:cs="仿宋_GB2312"/>
                        <w:sz w:val="26"/>
                        <w:szCs w:val="26"/>
                      </w:rPr>
                      <w:fldChar w:fldCharType="separate"/>
                    </w:r>
                    <w:r>
                      <w:rPr>
                        <w:rFonts w:ascii="仿宋_GB2312" w:hAnsi="仿宋_GB2312" w:eastAsia="仿宋_GB2312" w:cs="仿宋_GB2312"/>
                        <w:sz w:val="26"/>
                        <w:szCs w:val="26"/>
                      </w:rPr>
                      <w:t>21</w:t>
                    </w:r>
                    <w:r>
                      <w:rPr>
                        <w:rFonts w:hint="eastAsia" w:ascii="仿宋_GB2312" w:hAnsi="仿宋_GB2312" w:eastAsia="仿宋_GB2312" w:cs="仿宋_GB2312"/>
                        <w:sz w:val="26"/>
                        <w:szCs w:val="26"/>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4D8643E0"/>
    <w:rsid w:val="04A53192"/>
    <w:rsid w:val="05763A35"/>
    <w:rsid w:val="05882A67"/>
    <w:rsid w:val="087C2EA8"/>
    <w:rsid w:val="0DAD5C2D"/>
    <w:rsid w:val="0E7B4E57"/>
    <w:rsid w:val="0F880A70"/>
    <w:rsid w:val="116B779F"/>
    <w:rsid w:val="13B16360"/>
    <w:rsid w:val="14671706"/>
    <w:rsid w:val="147070BD"/>
    <w:rsid w:val="14D27CBD"/>
    <w:rsid w:val="18ED5373"/>
    <w:rsid w:val="19763E21"/>
    <w:rsid w:val="19B7465C"/>
    <w:rsid w:val="1BF97315"/>
    <w:rsid w:val="1C9B548E"/>
    <w:rsid w:val="1D1F3284"/>
    <w:rsid w:val="1FDA5F4A"/>
    <w:rsid w:val="203B2D6E"/>
    <w:rsid w:val="21EB5535"/>
    <w:rsid w:val="2312529B"/>
    <w:rsid w:val="241B77F7"/>
    <w:rsid w:val="24BA5227"/>
    <w:rsid w:val="25123D75"/>
    <w:rsid w:val="268C2428"/>
    <w:rsid w:val="278A0E64"/>
    <w:rsid w:val="27AC7A9A"/>
    <w:rsid w:val="27F13A82"/>
    <w:rsid w:val="298F59C7"/>
    <w:rsid w:val="2A05072C"/>
    <w:rsid w:val="2CCA22B6"/>
    <w:rsid w:val="2D186014"/>
    <w:rsid w:val="2EC40ADD"/>
    <w:rsid w:val="2FBD9894"/>
    <w:rsid w:val="2FF43998"/>
    <w:rsid w:val="30C857FB"/>
    <w:rsid w:val="30F0687B"/>
    <w:rsid w:val="32211D5F"/>
    <w:rsid w:val="35F431F3"/>
    <w:rsid w:val="36372C24"/>
    <w:rsid w:val="36A501BB"/>
    <w:rsid w:val="38A56658"/>
    <w:rsid w:val="38F82B3F"/>
    <w:rsid w:val="3B5B53FF"/>
    <w:rsid w:val="3C036812"/>
    <w:rsid w:val="3CBB2F57"/>
    <w:rsid w:val="3D0F7C19"/>
    <w:rsid w:val="3E173926"/>
    <w:rsid w:val="3EA349B7"/>
    <w:rsid w:val="427B2F05"/>
    <w:rsid w:val="42C426E2"/>
    <w:rsid w:val="452E274E"/>
    <w:rsid w:val="45B34499"/>
    <w:rsid w:val="464C6DE0"/>
    <w:rsid w:val="47D429C9"/>
    <w:rsid w:val="485458B8"/>
    <w:rsid w:val="48696672"/>
    <w:rsid w:val="4956761B"/>
    <w:rsid w:val="49DE7F8B"/>
    <w:rsid w:val="4B6D5CAC"/>
    <w:rsid w:val="4BDF1E17"/>
    <w:rsid w:val="4BF57772"/>
    <w:rsid w:val="4D8643E0"/>
    <w:rsid w:val="4EA964BB"/>
    <w:rsid w:val="4EB430EA"/>
    <w:rsid w:val="4FAE12B9"/>
    <w:rsid w:val="518E62F0"/>
    <w:rsid w:val="522E3BDE"/>
    <w:rsid w:val="5714645E"/>
    <w:rsid w:val="58367B3E"/>
    <w:rsid w:val="5A142C26"/>
    <w:rsid w:val="5B770D08"/>
    <w:rsid w:val="5CC02019"/>
    <w:rsid w:val="5E1B624F"/>
    <w:rsid w:val="64A83BFF"/>
    <w:rsid w:val="6519386E"/>
    <w:rsid w:val="653B7391"/>
    <w:rsid w:val="697B0543"/>
    <w:rsid w:val="6AD74F5E"/>
    <w:rsid w:val="6B405747"/>
    <w:rsid w:val="6B7F2843"/>
    <w:rsid w:val="6E82340B"/>
    <w:rsid w:val="6EEB2223"/>
    <w:rsid w:val="6F665E14"/>
    <w:rsid w:val="704C7AE9"/>
    <w:rsid w:val="70716758"/>
    <w:rsid w:val="70734988"/>
    <w:rsid w:val="71EF202A"/>
    <w:rsid w:val="72240B8C"/>
    <w:rsid w:val="75144B24"/>
    <w:rsid w:val="75A471F3"/>
    <w:rsid w:val="774B1AB0"/>
    <w:rsid w:val="775355E2"/>
    <w:rsid w:val="77DF233D"/>
    <w:rsid w:val="783962C0"/>
    <w:rsid w:val="7A884DCA"/>
    <w:rsid w:val="7B1C7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彩色列表 - 强调文字颜色 1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2224</Words>
  <Characters>2511</Characters>
  <Lines>0</Lines>
  <Paragraphs>0</Paragraphs>
  <TotalTime>38</TotalTime>
  <ScaleCrop>false</ScaleCrop>
  <LinksUpToDate>false</LinksUpToDate>
  <CharactersWithSpaces>2536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2022-10-31T17:52:00Z</dcterms:created>
  <dc:creator>oyaaaaa</dc:creator>
  <cp:lastModifiedBy>箫虹</cp:lastModifiedBy>
  <dcterms:modified xsi:type="dcterms:W3CDTF">2026-04-17T06:26:34Z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0F3AB91345CE42049395DDD523B58DCA_13</vt:lpwstr>
  </property>
  <property fmtid="{D5CDD505-2E9C-101B-9397-08002B2CF9AE}" pid="4" name="KSOTemplateDocerSaveRecord">
    <vt:lpwstr>eyJoZGlkIjoiMDNiYjE1MTM5OTI4NDEzYjJhMmY2MGUzZGZkODM4NzgiLCJ1c2VySWQiOiIyMDYzNjczNDkifQ==</vt:lpwstr>
  </property>
</Properties>
</file>