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B8B7F4"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石材采购</w:t>
      </w:r>
    </w:p>
    <w:p w14:paraId="2B0A85FA">
      <w:pPr>
        <w:jc w:val="center"/>
        <w:rPr>
          <w:rFonts w:hint="eastAsia" w:ascii="仿宋" w:hAnsi="仿宋" w:eastAsia="仿宋"/>
          <w:b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b/>
          <w:sz w:val="32"/>
          <w:szCs w:val="32"/>
        </w:rPr>
        <w:t>用户需求书</w:t>
      </w:r>
    </w:p>
    <w:p w14:paraId="26CC7A88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一、原材料技术要求</w:t>
      </w:r>
    </w:p>
    <w:p w14:paraId="36694D10">
      <w:pPr>
        <w:pStyle w:val="8"/>
        <w:ind w:left="360" w:firstLine="0" w:firstLineChars="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1、防泛碱处理（所有天然石材饰面均要求做防泛碱处理），6面防水药水浸泡。</w:t>
      </w:r>
    </w:p>
    <w:p w14:paraId="64F91702">
      <w:pPr>
        <w:pStyle w:val="8"/>
        <w:ind w:left="360" w:firstLine="0" w:firstLineChars="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2、铺装面材选择符合产品标准要求的材料，避免使用大面积釉面和磨光面的面材，且注意面材的宽度与道路广场的模数关系。</w:t>
      </w:r>
    </w:p>
    <w:p w14:paraId="71ECA782">
      <w:pPr>
        <w:pStyle w:val="8"/>
        <w:ind w:left="360" w:firstLine="0" w:firstLineChars="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3、外观色泽均匀；</w:t>
      </w:r>
    </w:p>
    <w:p w14:paraId="43906EBE">
      <w:pPr>
        <w:pStyle w:val="8"/>
        <w:ind w:left="360" w:firstLine="0" w:firstLineChars="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4、吸水率小于0.5%。进场时需提供出厂合格证、放射性检测报告。石材表面无裂纹、缺棱角，色差控制在肉眼无明显差异范围内；</w:t>
      </w:r>
    </w:p>
    <w:p w14:paraId="33D9B70E">
      <w:pPr>
        <w:pStyle w:val="8"/>
        <w:ind w:left="360" w:firstLine="0" w:firstLineChars="0"/>
        <w:rPr>
          <w:rFonts w:hint="eastAsia" w:ascii="仿宋" w:hAnsi="仿宋" w:eastAsia="仿宋"/>
          <w:sz w:val="24"/>
          <w:szCs w:val="24"/>
        </w:rPr>
      </w:pPr>
    </w:p>
    <w:p w14:paraId="39C9F4BB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二、原材料加工要求</w:t>
      </w:r>
    </w:p>
    <w:p w14:paraId="086B70EB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1、石材加工对照深化图纸，每块石材对应编码进行测量复核，合格装车出货，尺寸偏差较大责令返工。</w:t>
      </w:r>
      <w:r>
        <w:rPr>
          <w:rFonts w:ascii="仿宋" w:hAnsi="仿宋" w:eastAsia="仿宋"/>
          <w:sz w:val="24"/>
          <w:szCs w:val="24"/>
        </w:rPr>
        <w:cr/>
      </w:r>
      <w:r>
        <w:rPr>
          <w:rFonts w:hint="eastAsia" w:ascii="仿宋" w:hAnsi="仿宋" w:eastAsia="仿宋"/>
          <w:sz w:val="24"/>
          <w:szCs w:val="24"/>
        </w:rPr>
        <w:t xml:space="preserve">    2、</w:t>
      </w:r>
      <w:r>
        <w:rPr>
          <w:rFonts w:ascii="仿宋" w:hAnsi="仿宋" w:eastAsia="仿宋"/>
          <w:sz w:val="24"/>
          <w:szCs w:val="24"/>
        </w:rPr>
        <w:t>剔除含明显裂纹、色斑、晶洞及色差过大的荒料，优先选择致密均匀的块体。</w:t>
      </w:r>
    </w:p>
    <w:p w14:paraId="5DBA22F4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3、</w:t>
      </w:r>
      <w:r>
        <w:rPr>
          <w:rFonts w:ascii="仿宋" w:hAnsi="仿宋" w:eastAsia="仿宋"/>
          <w:sz w:val="24"/>
          <w:szCs w:val="24"/>
        </w:rPr>
        <w:t>切割尺寸误差≤±1.0mm（按GB/T 18601-2020标准）。</w:t>
      </w:r>
    </w:p>
    <w:p w14:paraId="2817A3DF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直角度：相邻边垂直度偏差 ≤0.5mm/100mm；</w:t>
      </w:r>
    </w:p>
    <w:p w14:paraId="42A84AAD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倒角/磨边：倒角宽度误差 ≤0.5mm；磨边无崩边、缺角，过渡平滑。</w:t>
      </w:r>
    </w:p>
    <w:p w14:paraId="6BCAAE04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4、石材加工要求平直通角、棱角无损而完整。</w:t>
      </w:r>
    </w:p>
    <w:p w14:paraId="3B765E6A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</w:t>
      </w:r>
      <w:r>
        <w:rPr>
          <w:b/>
          <w:bCs/>
        </w:rPr>
        <w:t>火烧面</w:t>
      </w:r>
      <w:r>
        <w:rPr>
          <w:rFonts w:ascii="仿宋" w:hAnsi="仿宋" w:eastAsia="仿宋"/>
          <w:sz w:val="24"/>
          <w:szCs w:val="24"/>
        </w:rPr>
        <w:t>：乙炔火焰高温灼烧（温度1200-1500</w:t>
      </w:r>
      <w:r>
        <w:rPr>
          <w:rFonts w:hint="eastAsia" w:ascii="仿宋" w:hAnsi="仿宋" w:eastAsia="仿宋"/>
          <w:sz w:val="24"/>
          <w:szCs w:val="24"/>
        </w:rPr>
        <w:t>℃</w:t>
      </w:r>
      <w:r>
        <w:rPr>
          <w:rFonts w:ascii="仿宋" w:hAnsi="仿宋" w:eastAsia="仿宋"/>
          <w:sz w:val="24"/>
          <w:szCs w:val="24"/>
        </w:rPr>
        <w:t>），形成均匀凹凸质感；</w:t>
      </w:r>
      <w:r>
        <w:rPr>
          <w:b/>
          <w:bCs/>
        </w:rPr>
        <w:t>荔枝面</w:t>
      </w:r>
      <w:r>
        <w:rPr>
          <w:rFonts w:ascii="仿宋" w:hAnsi="仿宋" w:eastAsia="仿宋"/>
          <w:sz w:val="24"/>
          <w:szCs w:val="24"/>
        </w:rPr>
        <w:t>：气动凿锤或机械锤击，表面摩擦系数≥0.7（符合公共场所防滑标准）；</w:t>
      </w:r>
      <w:r>
        <w:rPr>
          <w:b/>
          <w:bCs/>
        </w:rPr>
        <w:t>仿古面</w:t>
      </w:r>
      <w:r>
        <w:rPr>
          <w:rFonts w:ascii="仿宋" w:hAnsi="仿宋" w:eastAsia="仿宋"/>
          <w:sz w:val="24"/>
          <w:szCs w:val="24"/>
        </w:rPr>
        <w:t>：酸洗（氢氟酸稀释液）或喷砂（石英砂粒径0.5-1mm）。</w:t>
      </w:r>
    </w:p>
    <w:p w14:paraId="72F0134B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6、</w:t>
      </w:r>
      <w:r>
        <w:rPr>
          <w:rFonts w:ascii="仿宋" w:hAnsi="仿宋" w:eastAsia="仿宋"/>
          <w:sz w:val="24"/>
          <w:szCs w:val="24"/>
        </w:rPr>
        <w:t>数控加工</w:t>
      </w:r>
    </w:p>
    <w:p w14:paraId="2B6E1446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设备：五轴CNC数控机床，主轴转速≥8000rpm；</w:t>
      </w:r>
    </w:p>
    <w:p w14:paraId="5F75C310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编程：刀具路径需顺花岗岩晶体走向，避免崩边（预留0.5mm余量）；</w:t>
      </w:r>
    </w:p>
    <w:p w14:paraId="7490728D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精度：异形轮廓误差≤0.8mm，雕刻深度误差≤0.3mm。</w:t>
      </w:r>
    </w:p>
    <w:p w14:paraId="31E26F5D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7、</w:t>
      </w:r>
      <w:r>
        <w:rPr>
          <w:rFonts w:ascii="仿宋" w:hAnsi="仿宋" w:eastAsia="仿宋"/>
          <w:sz w:val="24"/>
          <w:szCs w:val="24"/>
        </w:rPr>
        <w:t>手工修整：</w:t>
      </w:r>
    </w:p>
    <w:p w14:paraId="6C2BC277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使用金刚石锉刀或气动雕刻笔修边；</w:t>
      </w:r>
    </w:p>
    <w:p w14:paraId="4BBF7763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</w:p>
    <w:p w14:paraId="216B6043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三、深化设计要求</w:t>
      </w:r>
    </w:p>
    <w:p w14:paraId="150C206C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1、根据现场实际情况，配合项目现场实测实量，乙方进行深化设计排版优化，每块异形石材编码并出图，确保尺寸精确。</w:t>
      </w:r>
      <w:r>
        <w:rPr>
          <w:rFonts w:ascii="仿宋" w:hAnsi="仿宋" w:eastAsia="仿宋"/>
          <w:sz w:val="24"/>
          <w:szCs w:val="24"/>
        </w:rPr>
        <w:cr/>
      </w:r>
      <w:r>
        <w:rPr>
          <w:rFonts w:hint="eastAsia" w:ascii="仿宋" w:hAnsi="仿宋" w:eastAsia="仿宋"/>
          <w:sz w:val="24"/>
          <w:szCs w:val="24"/>
        </w:rPr>
        <w:t xml:space="preserve">    2、</w:t>
      </w:r>
      <w:r>
        <w:rPr>
          <w:rFonts w:ascii="仿宋" w:hAnsi="仿宋" w:eastAsia="仿宋"/>
          <w:sz w:val="24"/>
          <w:szCs w:val="24"/>
        </w:rPr>
        <w:t>石材排版图（标注编号、尺寸、纹理方向）；</w:t>
      </w:r>
    </w:p>
    <w:p w14:paraId="270BED54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3、</w:t>
      </w:r>
      <w:r>
        <w:rPr>
          <w:rFonts w:ascii="仿宋" w:hAnsi="仿宋" w:eastAsia="仿宋"/>
          <w:sz w:val="24"/>
          <w:szCs w:val="24"/>
        </w:rPr>
        <w:t>节点大样图（收边收口、阴阳角处理）；</w:t>
      </w:r>
    </w:p>
    <w:p w14:paraId="4E41E684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4、</w:t>
      </w:r>
      <w:r>
        <w:rPr>
          <w:rFonts w:ascii="仿宋" w:hAnsi="仿宋" w:eastAsia="仿宋"/>
          <w:sz w:val="24"/>
          <w:szCs w:val="24"/>
        </w:rPr>
        <w:t>定位图（坐标、标高要求）。</w:t>
      </w:r>
    </w:p>
    <w:p w14:paraId="1671CB5E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</w:p>
    <w:p w14:paraId="08F33027">
      <w:pPr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四、工程质量与验收标准</w:t>
      </w:r>
    </w:p>
    <w:p w14:paraId="551099C3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</w:t>
      </w:r>
      <w:r>
        <w:rPr>
          <w:rFonts w:ascii="仿宋" w:hAnsi="仿宋" w:eastAsia="仿宋"/>
          <w:sz w:val="24"/>
          <w:szCs w:val="24"/>
        </w:rPr>
        <w:t>尺寸与平整度：</w:t>
      </w:r>
    </w:p>
    <w:p w14:paraId="3DFD3358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厚度公差：±1.0mm（20mm标准板）；</w:t>
      </w:r>
    </w:p>
    <w:p w14:paraId="56D344BC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对角线偏差：≤1.5mm/㎡；</w:t>
      </w:r>
    </w:p>
    <w:p w14:paraId="6D1FF66C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表面平整度：2m直尺间隙≤1.0mm。</w:t>
      </w:r>
    </w:p>
    <w:p w14:paraId="19D1C25F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</w:t>
      </w:r>
      <w:r>
        <w:rPr>
          <w:rFonts w:ascii="仿宋" w:hAnsi="仿宋" w:eastAsia="仿宋"/>
          <w:sz w:val="24"/>
          <w:szCs w:val="24"/>
        </w:rPr>
        <w:t>表面质量：</w:t>
      </w:r>
    </w:p>
    <w:p w14:paraId="40E97006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抛光面：无目视可见划痕（距离1.5m）；</w:t>
      </w:r>
    </w:p>
    <w:p w14:paraId="27E09F4C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火烧面/荔枝面：纹理均匀，无过度灼烧或机械损伤。</w:t>
      </w:r>
    </w:p>
    <w:p w14:paraId="21728C06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3、</w:t>
      </w:r>
      <w:r>
        <w:rPr>
          <w:rFonts w:ascii="仿宋" w:hAnsi="仿宋" w:eastAsia="仿宋"/>
          <w:sz w:val="24"/>
          <w:szCs w:val="24"/>
        </w:rPr>
        <w:t>物理性能测试：</w:t>
      </w:r>
    </w:p>
    <w:p w14:paraId="7823E67F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耐磨性：按GB/T 9966.4测试，磨坑深度≤25mm；</w:t>
      </w:r>
    </w:p>
    <w:p w14:paraId="0C096278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</w:t>
      </w:r>
      <w:r>
        <w:rPr>
          <w:rFonts w:ascii="仿宋" w:hAnsi="仿宋" w:eastAsia="仿宋"/>
          <w:sz w:val="24"/>
          <w:szCs w:val="24"/>
        </w:rPr>
        <w:t>、抽样方法</w:t>
      </w:r>
    </w:p>
    <w:p w14:paraId="39529ED9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批量检验：同一品种、规格、批次抽检5%（不少于10块）；</w:t>
      </w:r>
    </w:p>
    <w:p w14:paraId="66A9007F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单项检验：裂纹、色差等逐块目视检查。</w:t>
      </w:r>
    </w:p>
    <w:p w14:paraId="762A5324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</w:t>
      </w:r>
      <w:r>
        <w:rPr>
          <w:rFonts w:ascii="仿宋" w:hAnsi="仿宋" w:eastAsia="仿宋"/>
          <w:sz w:val="24"/>
          <w:szCs w:val="24"/>
        </w:rPr>
        <w:t>、检测工具</w:t>
      </w:r>
    </w:p>
    <w:p w14:paraId="5784967B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量具：游标卡尺（精度0.02mm）、钢卷尺、2m靠尺；</w:t>
      </w:r>
    </w:p>
    <w:p w14:paraId="7352DF58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6</w:t>
      </w:r>
      <w:r>
        <w:rPr>
          <w:rFonts w:ascii="仿宋" w:hAnsi="仿宋" w:eastAsia="仿宋"/>
          <w:sz w:val="24"/>
          <w:szCs w:val="24"/>
        </w:rPr>
        <w:t>、判定规则</w:t>
      </w:r>
    </w:p>
    <w:p w14:paraId="21926F2E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主控项目（一票否决）：</w:t>
      </w:r>
    </w:p>
    <w:p w14:paraId="67CE6F2C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放射性超标；</w:t>
      </w:r>
    </w:p>
    <w:p w14:paraId="1256C686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贯穿性裂纹；</w:t>
      </w:r>
    </w:p>
    <w:p w14:paraId="5DB52439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抗压/抗弯强度不达标。</w:t>
      </w:r>
    </w:p>
    <w:p w14:paraId="270856D3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一般项目（允许偏差）：</w:t>
      </w:r>
    </w:p>
    <w:p w14:paraId="48974FF6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尺寸超差、色差等，不合格率≤5%可让步接收。</w:t>
      </w:r>
    </w:p>
    <w:p w14:paraId="1BD82618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7、</w:t>
      </w:r>
      <w:r>
        <w:rPr>
          <w:rFonts w:ascii="仿宋" w:hAnsi="仿宋" w:eastAsia="仿宋"/>
          <w:sz w:val="24"/>
          <w:szCs w:val="24"/>
        </w:rPr>
        <w:t>常见不合格项处理</w:t>
      </w:r>
    </w:p>
    <w:p w14:paraId="00EDAF33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色差过大：调整铺装顺序或更换同批次板材；</w:t>
      </w:r>
    </w:p>
    <w:p w14:paraId="287C4030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尺寸偏差：返厂切割或用于非关键区域。</w:t>
      </w:r>
    </w:p>
    <w:p w14:paraId="4A5EF49B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8、</w:t>
      </w:r>
      <w:r>
        <w:rPr>
          <w:rFonts w:ascii="仿宋" w:hAnsi="仿宋" w:eastAsia="仿宋"/>
          <w:sz w:val="24"/>
          <w:szCs w:val="24"/>
        </w:rPr>
        <w:t>国家标准：</w:t>
      </w:r>
    </w:p>
    <w:p w14:paraId="3BC93FF1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GB/T 18601-2020《天然花岗岩建筑板材》；</w:t>
      </w:r>
    </w:p>
    <w:p w14:paraId="033BF4C7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GB 6566-2010《建筑材料放射性核素限量》；</w:t>
      </w:r>
    </w:p>
    <w:p w14:paraId="5842CB1A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9、</w:t>
      </w:r>
      <w:r>
        <w:rPr>
          <w:rFonts w:ascii="仿宋" w:hAnsi="仿宋" w:eastAsia="仿宋"/>
          <w:sz w:val="24"/>
          <w:szCs w:val="24"/>
        </w:rPr>
        <w:t>行业规范：</w:t>
      </w:r>
    </w:p>
    <w:p w14:paraId="40F58FC9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JC/T 847-2013《异型装饰石材》；</w:t>
      </w:r>
    </w:p>
    <w:p w14:paraId="6F62FDEE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JC/T 973-2005《建筑装饰用天然石材防护剂》。</w:t>
      </w:r>
    </w:p>
    <w:p w14:paraId="4FA9838B">
      <w:pPr>
        <w:rPr>
          <w:rFonts w:hint="eastAsia" w:ascii="仿宋" w:hAnsi="仿宋" w:eastAsia="仿宋"/>
          <w:color w:val="000000"/>
          <w:sz w:val="24"/>
          <w:szCs w:val="24"/>
        </w:rPr>
      </w:pPr>
    </w:p>
    <w:p w14:paraId="6E546A79">
      <w:pPr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五、施工进度配合要求</w:t>
      </w:r>
    </w:p>
    <w:p w14:paraId="6D689AA7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1、项目部下单，必须10天内到场，特殊情况需7天内进场；</w:t>
      </w:r>
    </w:p>
    <w:p w14:paraId="605EFB57">
      <w:pPr>
        <w:ind w:firstLine="480" w:firstLineChars="200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2、供应商无条件配合现场施工进度要求；</w:t>
      </w:r>
    </w:p>
    <w:p w14:paraId="3E0F5350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3、</w:t>
      </w:r>
      <w:r>
        <w:rPr>
          <w:rFonts w:ascii="仿宋" w:hAnsi="仿宋" w:eastAsia="仿宋"/>
          <w:sz w:val="24"/>
          <w:szCs w:val="24"/>
        </w:rPr>
        <w:t>加工延迟：要求供应商分阶段提供加工进度照片（荒料切割→打磨→防护）；</w:t>
      </w:r>
    </w:p>
    <w:p w14:paraId="1F8276CF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4、</w:t>
      </w:r>
      <w:r>
        <w:rPr>
          <w:rFonts w:ascii="仿宋" w:hAnsi="仿宋" w:eastAsia="仿宋"/>
          <w:sz w:val="24"/>
          <w:szCs w:val="24"/>
        </w:rPr>
        <w:t>质量异常：到场发现批量色差/破损时，48小时内完成退换货；</w:t>
      </w:r>
    </w:p>
    <w:p w14:paraId="24F1C06A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</w:t>
      </w:r>
      <w:r>
        <w:rPr>
          <w:rFonts w:ascii="仿宋" w:hAnsi="仿宋" w:eastAsia="仿宋"/>
          <w:sz w:val="24"/>
          <w:szCs w:val="24"/>
        </w:rPr>
        <w:t>供应商延迟到货：按合同价0.1%/天扣款，超3天启动应急采购；</w:t>
      </w:r>
    </w:p>
    <w:p w14:paraId="6385426A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6、</w:t>
      </w:r>
      <w:r>
        <w:rPr>
          <w:rFonts w:ascii="仿宋" w:hAnsi="仿宋" w:eastAsia="仿宋"/>
          <w:sz w:val="24"/>
          <w:szCs w:val="24"/>
        </w:rPr>
        <w:t>路线规划：提前勘察道路限高/限宽，夜间运输避开市区高峰；</w:t>
      </w:r>
    </w:p>
    <w:p w14:paraId="46181C29">
      <w:pPr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7、</w:t>
      </w:r>
      <w:r>
        <w:rPr>
          <w:rFonts w:ascii="仿宋" w:hAnsi="仿宋" w:eastAsia="仿宋"/>
          <w:sz w:val="24"/>
          <w:szCs w:val="24"/>
        </w:rPr>
        <w:t>到货通知：提前24小时发送货车车牌号、司机电话、预计抵达时间、货物清单及发货照片。</w:t>
      </w:r>
    </w:p>
    <w:p w14:paraId="1E6A1BCF">
      <w:pPr>
        <w:ind w:firstLine="480" w:firstLineChars="200"/>
        <w:rPr>
          <w:rFonts w:hint="default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8、送货地点：东莞市石龙镇中山路附近区域</w:t>
      </w:r>
    </w:p>
    <w:p w14:paraId="1FC6A35D">
      <w:pPr>
        <w:rPr>
          <w:rFonts w:ascii="仿宋" w:hAnsi="仿宋" w:eastAsia="仿宋"/>
          <w:sz w:val="24"/>
          <w:szCs w:val="24"/>
        </w:rPr>
      </w:pPr>
    </w:p>
    <w:p w14:paraId="66238179">
      <w:pPr>
        <w:numPr>
          <w:ilvl w:val="0"/>
          <w:numId w:val="1"/>
        </w:numPr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采购清单</w:t>
      </w:r>
    </w:p>
    <w:p w14:paraId="78D3C4FE">
      <w:pPr>
        <w:numPr>
          <w:ilvl w:val="0"/>
          <w:numId w:val="0"/>
        </w:numPr>
        <w:rPr>
          <w:rFonts w:hint="eastAsia" w:ascii="仿宋" w:hAnsi="仿宋" w:eastAsia="仿宋"/>
          <w:b/>
          <w:sz w:val="28"/>
          <w:szCs w:val="28"/>
          <w:lang w:val="en-US" w:eastAsia="zh-CN"/>
        </w:rPr>
      </w:pPr>
    </w:p>
    <w:tbl>
      <w:tblPr>
        <w:tblStyle w:val="5"/>
        <w:tblW w:w="7293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2655"/>
        <w:gridCol w:w="1888"/>
        <w:gridCol w:w="673"/>
        <w:gridCol w:w="1681"/>
      </w:tblGrid>
      <w:tr w14:paraId="4156F9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FD0681B">
            <w:pPr>
              <w:rPr>
                <w:rFonts w:hint="eastAsia" w:ascii="Arial" w:hAnsi="Arial" w:cs="Arial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4EAF2"/>
            <w:vAlign w:val="center"/>
          </w:tcPr>
          <w:p w14:paraId="7119A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名称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4EAF2"/>
            <w:vAlign w:val="center"/>
          </w:tcPr>
          <w:p w14:paraId="03135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4EAF2"/>
            <w:vAlign w:val="center"/>
          </w:tcPr>
          <w:p w14:paraId="08297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4EAF2"/>
            <w:vAlign w:val="center"/>
          </w:tcPr>
          <w:p w14:paraId="77A83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262626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262626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</w:tr>
      <w:tr w14:paraId="3EA5EA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67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8"/>
            <w:vAlign w:val="center"/>
          </w:tcPr>
          <w:p w14:paraId="18ED9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烧面中国黑小料石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8"/>
            <w:vAlign w:val="center"/>
          </w:tcPr>
          <w:p w14:paraId="08B05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100x100x50厚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8"/>
            <w:vAlign w:val="center"/>
          </w:tcPr>
          <w:p w14:paraId="1027E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8"/>
            <w:vAlign w:val="center"/>
          </w:tcPr>
          <w:p w14:paraId="7BA69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114.0048</w:t>
            </w:r>
          </w:p>
        </w:tc>
      </w:tr>
      <w:tr w14:paraId="1170DB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B5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CB4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轻度做旧烧面中国黑小料石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A1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100x100x50厚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057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34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747.2214</w:t>
            </w:r>
          </w:p>
        </w:tc>
      </w:tr>
      <w:tr w14:paraId="15E04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2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B12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花岗岩烧面轻度做旧中国黑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E9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100x100x100厚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25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C35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1690.2836</w:t>
            </w:r>
          </w:p>
        </w:tc>
      </w:tr>
      <w:tr w14:paraId="50E1F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D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214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花岗岩烧面荔枝面芝麻黑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F31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100x100x100厚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893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871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44.9608</w:t>
            </w:r>
          </w:p>
        </w:tc>
      </w:tr>
      <w:tr w14:paraId="318907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DA7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26F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轻度做旧荔枝面中国黑花岗岩盲道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60E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600x300x50厚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D48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C5A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138.2814</w:t>
            </w:r>
          </w:p>
        </w:tc>
      </w:tr>
      <w:tr w14:paraId="4FA5FD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F7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264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轻度做旧荔枝面中国黑花岗岩盲道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E1C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600x300x100厚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573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651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207.1314</w:t>
            </w:r>
          </w:p>
        </w:tc>
      </w:tr>
      <w:tr w14:paraId="2898AB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B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274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轻微做旧荔枝面蒙古黑花岗岩，工字缝铺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4DB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1200x900x150厚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6DE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D08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44.064</w:t>
            </w:r>
          </w:p>
        </w:tc>
      </w:tr>
      <w:tr w14:paraId="5EB2FA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06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743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轻微做旧荔枝面芝麻黑花岗岩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896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1200x900x150厚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E8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F27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30.8448</w:t>
            </w:r>
          </w:p>
        </w:tc>
      </w:tr>
      <w:tr w14:paraId="57D496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F9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00B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轻度做旧自然面芝麻黑花岗岩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273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1200X400X150厚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AC2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A0C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1.8564</w:t>
            </w:r>
          </w:p>
        </w:tc>
      </w:tr>
      <w:tr w14:paraId="69BF57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25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9A5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荔枝面芝麻黑花岗岩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C9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600*600*50厚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B2D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739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1006.2402</w:t>
            </w:r>
          </w:p>
        </w:tc>
      </w:tr>
      <w:tr w14:paraId="724EB8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98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433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轻度做旧荔枝面中国黑黑花岗岩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DA6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150厚(多规格)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B94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C4A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2816.0568</w:t>
            </w:r>
          </w:p>
        </w:tc>
      </w:tr>
      <w:tr w14:paraId="7061CD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34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B99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大阶砖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59F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400*400*30厚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E64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D9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619.4238</w:t>
            </w:r>
          </w:p>
        </w:tc>
      </w:tr>
      <w:tr w14:paraId="55BEF6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E8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CB0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宝蓝色瓷砖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CCD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100*100*10厚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2FA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9F7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29.0783</w:t>
            </w:r>
          </w:p>
        </w:tc>
      </w:tr>
      <w:tr w14:paraId="51636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DF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41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釉面花砖拼花（花阶砖）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B3E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C97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83D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12.852</w:t>
            </w:r>
          </w:p>
        </w:tc>
      </w:tr>
      <w:tr w14:paraId="335DF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75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A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烧面芝麻黑侧石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A3F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600x150x300厚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C89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0A1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1177.7858</w:t>
            </w:r>
          </w:p>
        </w:tc>
      </w:tr>
      <w:tr w14:paraId="4A66C1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3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9D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8"/>
            <w:vAlign w:val="center"/>
          </w:tcPr>
          <w:p w14:paraId="29F03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水泥花砖</w:t>
            </w:r>
          </w:p>
        </w:tc>
        <w:tc>
          <w:tcPr>
            <w:tcW w:w="1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8"/>
            <w:vAlign w:val="center"/>
          </w:tcPr>
          <w:p w14:paraId="01488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200x200x20mm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8"/>
            <w:vAlign w:val="center"/>
          </w:tcPr>
          <w:p w14:paraId="2CDAF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m2</w:t>
            </w:r>
          </w:p>
        </w:tc>
        <w:tc>
          <w:tcPr>
            <w:tcW w:w="1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C8"/>
            <w:vAlign w:val="center"/>
          </w:tcPr>
          <w:p w14:paraId="3960C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13.26</w:t>
            </w:r>
          </w:p>
        </w:tc>
      </w:tr>
    </w:tbl>
    <w:p w14:paraId="0E6EC18D">
      <w:pPr>
        <w:numPr>
          <w:ilvl w:val="0"/>
          <w:numId w:val="0"/>
        </w:numPr>
        <w:rPr>
          <w:rFonts w:hint="default" w:ascii="仿宋" w:hAnsi="仿宋" w:eastAsia="仿宋"/>
          <w:sz w:val="24"/>
          <w:szCs w:val="24"/>
          <w:lang w:val="en-US" w:eastAsia="zh-CN"/>
        </w:rPr>
      </w:pPr>
    </w:p>
    <w:p w14:paraId="0CDC39BE">
      <w:pPr>
        <w:pStyle w:val="8"/>
        <w:ind w:left="0" w:leftChars="0" w:firstLine="0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具体工程量采购清单及数量已招标文件中的预算工程量清单为准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B5B159"/>
    <w:multiLevelType w:val="singleLevel"/>
    <w:tmpl w:val="26B5B15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D5B"/>
    <w:rsid w:val="000064C5"/>
    <w:rsid w:val="000323AB"/>
    <w:rsid w:val="00185134"/>
    <w:rsid w:val="001F2A1C"/>
    <w:rsid w:val="00235C18"/>
    <w:rsid w:val="004F170C"/>
    <w:rsid w:val="006C762D"/>
    <w:rsid w:val="00852BD2"/>
    <w:rsid w:val="009D2AC5"/>
    <w:rsid w:val="00A31730"/>
    <w:rsid w:val="00AA7C5B"/>
    <w:rsid w:val="00BB52D1"/>
    <w:rsid w:val="00D3242E"/>
    <w:rsid w:val="00D41D5B"/>
    <w:rsid w:val="00DF1C21"/>
    <w:rsid w:val="00E67EAE"/>
    <w:rsid w:val="00EC4B0F"/>
    <w:rsid w:val="00F77B37"/>
    <w:rsid w:val="21F61D71"/>
    <w:rsid w:val="5829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link w:val="9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宋体" w:hAnsi="宋体" w:eastAsia="宋体" w:cs="宋体"/>
      <w:b/>
      <w:bCs/>
      <w:kern w:val="0"/>
      <w:sz w:val="24"/>
      <w:szCs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4 Char"/>
    <w:basedOn w:val="6"/>
    <w:link w:val="3"/>
    <w:uiPriority w:val="9"/>
    <w:rPr>
      <w:rFonts w:ascii="宋体" w:hAnsi="宋体" w:eastAsia="宋体" w:cs="宋体"/>
      <w:b/>
      <w:bCs/>
      <w:kern w:val="0"/>
      <w:sz w:val="24"/>
      <w:szCs w:val="24"/>
    </w:rPr>
  </w:style>
  <w:style w:type="character" w:customStyle="1" w:styleId="10">
    <w:name w:val="标题 3 Char"/>
    <w:basedOn w:val="6"/>
    <w:link w:val="2"/>
    <w:semiHidden/>
    <w:uiPriority w:val="9"/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1598</Words>
  <Characters>2030</Characters>
  <Lines>10</Lines>
  <Paragraphs>3</Paragraphs>
  <TotalTime>612</TotalTime>
  <ScaleCrop>false</ScaleCrop>
  <LinksUpToDate>false</LinksUpToDate>
  <CharactersWithSpaces>2046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2025-04-01T02:07:00Z</dcterms:created>
  <dc:creator>admin</dc:creator>
  <cp:lastModifiedBy>黄惠东</cp:lastModifiedBy>
  <dcterms:modified xsi:type="dcterms:W3CDTF">2026-06-01T06:37:07Z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eyJoZGlkIjoiMDVhNGUzYzIxMzZiNGUwYjk4M2NhYzM1YTAzMjk5NTIiLCJ1c2VySWQiOiIxNTgyODExNDczIn0=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F3E69CD8B18745959FCD04DDF7EC1AA9_13</vt:lpwstr>
  </property>
</Properties>
</file>