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3AE8D">
      <w:pPr>
        <w:jc w:val="center"/>
        <w:rPr>
          <w:rFonts w:hint="eastAsia" w:ascii="仿宋_GB2312" w:hAnsi="仿宋_GB2312" w:eastAsia="仿宋_GB2312" w:cs="仿宋_GB2312"/>
          <w:b/>
          <w:bCs/>
          <w:sz w:val="32"/>
        </w:rPr>
      </w:pPr>
      <w:r>
        <w:rPr>
          <w:rFonts w:hint="eastAsia" w:ascii="仿宋_GB2312" w:hAnsi="仿宋_GB2312" w:eastAsia="仿宋_GB2312" w:cs="仿宋_GB2312"/>
          <w:b/>
          <w:bCs/>
          <w:sz w:val="32"/>
        </w:rPr>
        <w:t xml:space="preserve"> 采购公告</w:t>
      </w:r>
    </w:p>
    <w:p w14:paraId="68AB38FC">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565ED09D">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lang w:val="en-US" w:eastAsia="zh-CN"/>
        </w:rPr>
        <w:t xml:space="preserve">     中山路历史文化街区改造项目样板段保护提升工程石材采购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lang w:val="en-US" w:eastAsia="zh-CN"/>
        </w:rPr>
        <w:t>公开</w:t>
      </w:r>
      <w:r>
        <w:rPr>
          <w:rFonts w:hint="eastAsia" w:ascii="仿宋_GB2312" w:hAnsi="仿宋_GB2312" w:eastAsia="仿宋_GB2312" w:cs="仿宋_GB2312"/>
          <w:kern w:val="0"/>
          <w:szCs w:val="21"/>
          <w:u w:val="single"/>
        </w:rPr>
        <w:t xml:space="preserve">采购 </w:t>
      </w:r>
      <w:r>
        <w:rPr>
          <w:rFonts w:hint="eastAsia" w:ascii="仿宋_GB2312" w:hAnsi="仿宋_GB2312" w:eastAsia="仿宋_GB2312" w:cs="仿宋_GB2312"/>
          <w:kern w:val="0"/>
          <w:szCs w:val="21"/>
        </w:rPr>
        <w:t>现将有关事项说明如下：</w:t>
      </w:r>
    </w:p>
    <w:p w14:paraId="220633EE">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项目名称</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中山路历史文化街区改造项目样板段保护提升工程石材采购</w:t>
      </w:r>
    </w:p>
    <w:p w14:paraId="25C15D16">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项目编号：</w:t>
      </w:r>
      <w:r>
        <w:rPr>
          <w:rFonts w:hint="eastAsia" w:ascii="仿宋_GB2312" w:hAnsi="仿宋_GB2312" w:eastAsia="仿宋_GB2312" w:cs="仿宋_GB2312"/>
          <w:color w:val="auto"/>
          <w:kern w:val="0"/>
          <w:sz w:val="21"/>
          <w:szCs w:val="21"/>
          <w:u w:val="single"/>
        </w:rPr>
        <w:t xml:space="preserve"> ZBCG-</w:t>
      </w:r>
      <w:r>
        <w:rPr>
          <w:rFonts w:hint="eastAsia" w:ascii="仿宋_GB2312" w:hAnsi="仿宋_GB2312" w:eastAsia="仿宋_GB2312" w:cs="仿宋_GB2312"/>
          <w:color w:val="auto"/>
          <w:kern w:val="0"/>
          <w:sz w:val="21"/>
          <w:szCs w:val="21"/>
          <w:u w:val="single"/>
          <w:lang w:eastAsia="zh-CN"/>
        </w:rPr>
        <w:t>202</w:t>
      </w:r>
      <w:r>
        <w:rPr>
          <w:rFonts w:hint="eastAsia" w:ascii="仿宋_GB2312" w:hAnsi="仿宋_GB2312" w:eastAsia="仿宋_GB2312" w:cs="仿宋_GB2312"/>
          <w:color w:val="auto"/>
          <w:kern w:val="0"/>
          <w:sz w:val="21"/>
          <w:szCs w:val="21"/>
          <w:u w:val="single"/>
          <w:lang w:val="en-US" w:eastAsia="zh-CN"/>
        </w:rPr>
        <w:t>6</w:t>
      </w:r>
      <w:r>
        <w:rPr>
          <w:rFonts w:hint="eastAsia" w:ascii="仿宋_GB2312" w:hAnsi="仿宋_GB2312" w:eastAsia="仿宋_GB2312" w:cs="仿宋_GB2312"/>
          <w:color w:val="auto"/>
          <w:kern w:val="0"/>
          <w:sz w:val="21"/>
          <w:szCs w:val="21"/>
          <w:u w:val="single"/>
        </w:rPr>
        <w:t>-</w:t>
      </w:r>
      <w:r>
        <w:rPr>
          <w:rFonts w:hint="eastAsia" w:ascii="仿宋_GB2312" w:hAnsi="仿宋_GB2312" w:eastAsia="仿宋_GB2312" w:cs="仿宋_GB2312"/>
          <w:color w:val="auto"/>
          <w:kern w:val="0"/>
          <w:sz w:val="21"/>
          <w:szCs w:val="21"/>
          <w:u w:val="single"/>
          <w:lang w:val="en-US" w:eastAsia="zh-CN"/>
        </w:rPr>
        <w:t xml:space="preserve">082     </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w:t>
      </w:r>
      <w:r>
        <w:rPr>
          <w:rFonts w:hint="eastAsia" w:ascii="仿宋_GB2312" w:hAnsi="仿宋_GB2312" w:eastAsia="仿宋_GB2312" w:cs="仿宋_GB2312"/>
          <w:color w:val="auto"/>
          <w:kern w:val="0"/>
          <w:sz w:val="21"/>
          <w:szCs w:val="21"/>
          <w:lang w:val="en-US" w:eastAsia="zh-CN"/>
        </w:rPr>
        <w:t xml:space="preserve">  </w:t>
      </w:r>
    </w:p>
    <w:p w14:paraId="6F5DDDAE">
      <w:pPr>
        <w:widowControl/>
        <w:numPr>
          <w:ilvl w:val="0"/>
          <w:numId w:val="0"/>
        </w:numPr>
        <w:snapToGrid w:val="0"/>
        <w:spacing w:line="360" w:lineRule="auto"/>
        <w:ind w:left="420" w:leftChars="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三、</w:t>
      </w:r>
      <w:r>
        <w:rPr>
          <w:rFonts w:hint="eastAsia" w:ascii="仿宋_GB2312" w:hAnsi="仿宋_GB2312" w:eastAsia="仿宋_GB2312" w:cs="仿宋_GB2312"/>
          <w:b/>
          <w:bCs/>
          <w:color w:val="auto"/>
          <w:kern w:val="0"/>
          <w:sz w:val="21"/>
          <w:szCs w:val="21"/>
        </w:rPr>
        <w:t>工程地点：</w:t>
      </w:r>
      <w:r>
        <w:rPr>
          <w:rFonts w:hint="eastAsia" w:ascii="仿宋_GB2312" w:hAnsi="仿宋_GB2312" w:eastAsia="仿宋_GB2312" w:cs="仿宋_GB2312"/>
          <w:color w:val="auto"/>
          <w:kern w:val="0"/>
          <w:sz w:val="21"/>
          <w:szCs w:val="21"/>
          <w:u w:val="single"/>
          <w:lang w:val="en-US" w:eastAsia="zh-CN"/>
        </w:rPr>
        <w:t xml:space="preserve">  东莞石龙                    </w:t>
      </w:r>
    </w:p>
    <w:p w14:paraId="5A9D8DE2">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rPr>
        <w:t>四、</w:t>
      </w:r>
      <w:r>
        <w:rPr>
          <w:rFonts w:hint="eastAsia" w:ascii="仿宋_GB2312" w:hAnsi="仿宋_GB2312" w:eastAsia="仿宋_GB2312" w:cs="仿宋_GB2312"/>
          <w:b/>
          <w:bCs/>
          <w:color w:val="auto"/>
          <w:kern w:val="0"/>
          <w:sz w:val="21"/>
          <w:szCs w:val="21"/>
          <w:lang w:val="en-US" w:eastAsia="zh-CN"/>
        </w:rPr>
        <w:t>采购限价</w:t>
      </w:r>
    </w:p>
    <w:p w14:paraId="43321D44">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本项目</w:t>
      </w:r>
      <w:r>
        <w:rPr>
          <w:rFonts w:hint="eastAsia" w:ascii="仿宋_GB2312" w:hAnsi="仿宋_GB2312" w:eastAsia="仿宋_GB2312" w:cs="仿宋_GB2312"/>
          <w:color w:val="auto"/>
          <w:kern w:val="0"/>
          <w:sz w:val="21"/>
          <w:szCs w:val="21"/>
          <w:lang w:val="en-US" w:eastAsia="zh-CN"/>
        </w:rPr>
        <w:t>采购限价为</w:t>
      </w:r>
      <w:r>
        <w:rPr>
          <w:rFonts w:hint="eastAsia" w:ascii="仿宋_GB2312" w:hAnsi="仿宋_GB2312" w:eastAsia="仿宋_GB2312" w:cs="仿宋_GB2312"/>
          <w:color w:val="auto"/>
          <w:kern w:val="0"/>
          <w:sz w:val="21"/>
          <w:szCs w:val="21"/>
          <w:u w:val="single"/>
          <w:lang w:val="en-US" w:eastAsia="zh-CN"/>
        </w:rPr>
        <w:t xml:space="preserve">¥  3440448.10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元（含税</w:t>
      </w:r>
      <w:r>
        <w:rPr>
          <w:rFonts w:hint="eastAsia" w:ascii="仿宋_GB2312" w:hAnsi="仿宋_GB2312" w:eastAsia="仿宋_GB2312" w:cs="仿宋_GB2312"/>
          <w:color w:val="auto"/>
          <w:kern w:val="0"/>
          <w:sz w:val="21"/>
          <w:szCs w:val="21"/>
          <w:u w:val="single"/>
          <w:lang w:val="en-US" w:eastAsia="zh-CN"/>
        </w:rPr>
        <w:t xml:space="preserve">  13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叁佰肆拾肆万零肆佰肆拾捌元壹角整  </w:t>
      </w:r>
      <w:r>
        <w:rPr>
          <w:rFonts w:hint="eastAsia" w:ascii="仿宋_GB2312" w:hAnsi="仿宋_GB2312" w:eastAsia="仿宋_GB2312" w:cs="仿宋_GB2312"/>
          <w:color w:val="auto"/>
          <w:kern w:val="0"/>
          <w:sz w:val="21"/>
          <w:szCs w:val="21"/>
          <w:u w:val="none"/>
          <w:lang w:val="en-US" w:eastAsia="zh-CN"/>
        </w:rPr>
        <w:t>;其中不含税价款为:(小写</w:t>
      </w:r>
      <w:r>
        <w:rPr>
          <w:rFonts w:hint="eastAsia" w:ascii="仿宋_GB2312" w:hAnsi="仿宋_GB2312" w:eastAsia="仿宋_GB2312" w:cs="仿宋_GB2312"/>
          <w:color w:val="auto"/>
          <w:kern w:val="0"/>
          <w:sz w:val="21"/>
          <w:szCs w:val="21"/>
          <w:u w:val="single"/>
          <w:lang w:val="en-US" w:eastAsia="zh-CN"/>
        </w:rPr>
        <w:t>)¥  3044644.34元</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叁佰零肆万肆仟陆佰肆拾肆元叁角肆分  </w:t>
      </w:r>
      <w:r>
        <w:rPr>
          <w:rFonts w:hint="eastAsia" w:ascii="仿宋_GB2312" w:hAnsi="仿宋_GB2312" w:eastAsia="仿宋_GB2312" w:cs="仿宋_GB2312"/>
          <w:color w:val="auto"/>
          <w:kern w:val="0"/>
          <w:sz w:val="21"/>
          <w:szCs w:val="21"/>
          <w:u w:val="none"/>
          <w:lang w:val="en-US" w:eastAsia="zh-CN"/>
        </w:rPr>
        <w:t>;税金:(小写)</w:t>
      </w:r>
      <w:r>
        <w:rPr>
          <w:rFonts w:hint="eastAsia" w:ascii="仿宋_GB2312" w:hAnsi="仿宋_GB2312" w:eastAsia="仿宋_GB2312" w:cs="仿宋_GB2312"/>
          <w:color w:val="auto"/>
          <w:kern w:val="0"/>
          <w:sz w:val="21"/>
          <w:szCs w:val="21"/>
          <w:u w:val="single"/>
          <w:lang w:val="en-US" w:eastAsia="zh-CN"/>
        </w:rPr>
        <w:t>¥ 395803.76 元</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叁拾玖万伍仟捌佰零叁元柒角陆分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kern w:val="0"/>
          <w:szCs w:val="21"/>
          <w:lang w:val="en-US" w:eastAsia="zh-CN"/>
        </w:rPr>
        <w:t>（投标人报价不得高于采购限价）</w:t>
      </w:r>
    </w:p>
    <w:p w14:paraId="18A10126">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wordWrap/>
        <w:spacing w:before="0" w:beforeAutospacing="0" w:after="0" w:afterAutospacing="0"/>
        <w:ind w:left="40" w:leftChars="0" w:right="0" w:rightChars="0" w:firstLine="422" w:firstLineChars="200"/>
        <w:jc w:val="left"/>
        <w:rPr>
          <w:rFonts w:hint="eastAsia" w:ascii="仿宋_GB2312" w:hAnsi="仿宋_GB2312" w:eastAsia="仿宋_GB2312" w:cs="仿宋_GB2312"/>
          <w:color w:val="auto"/>
          <w:sz w:val="21"/>
          <w:szCs w:val="21"/>
          <w:u w:val="none"/>
          <w:lang w:val="en-US" w:eastAsia="zh-CN"/>
        </w:rPr>
      </w:pPr>
      <w:r>
        <w:rPr>
          <w:rFonts w:hint="eastAsia" w:ascii="仿宋_GB2312" w:hAnsi="仿宋_GB2312" w:eastAsia="仿宋_GB2312" w:cs="仿宋_GB2312"/>
          <w:b/>
          <w:bCs/>
          <w:color w:val="auto"/>
          <w:kern w:val="0"/>
          <w:sz w:val="21"/>
          <w:szCs w:val="21"/>
          <w:lang w:val="en-US" w:eastAsia="zh-CN" w:bidi="ar-SA"/>
        </w:rPr>
        <w:t>工程概况：</w:t>
      </w:r>
      <w:r>
        <w:rPr>
          <w:rFonts w:hint="eastAsia" w:ascii="仿宋_GB2312" w:hAnsi="仿宋_GB2312" w:eastAsia="仿宋_GB2312" w:cs="仿宋_GB2312"/>
          <w:color w:val="auto"/>
          <w:sz w:val="21"/>
          <w:szCs w:val="21"/>
          <w:u w:val="none"/>
          <w:lang w:val="en-US" w:eastAsia="zh-CN"/>
        </w:rPr>
        <w:t xml:space="preserve"> </w:t>
      </w:r>
    </w:p>
    <w:p w14:paraId="75250711">
      <w:pPr>
        <w:widowControl/>
        <w:numPr>
          <w:ilvl w:val="0"/>
          <w:numId w:val="0"/>
        </w:numPr>
        <w:snapToGrid w:val="0"/>
        <w:spacing w:line="360" w:lineRule="auto"/>
        <w:ind w:leftChars="0" w:firstLine="420" w:firstLineChars="200"/>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本项目属改造工程，主要包括石龙镇中山路与太平路交叉口东侧</w:t>
      </w:r>
      <w:r>
        <w:rPr>
          <w:rFonts w:hint="default" w:ascii="仿宋_GB2312" w:hAnsi="仿宋_GB2312" w:eastAsia="仿宋_GB2312" w:cs="仿宋_GB2312"/>
          <w:color w:val="auto"/>
          <w:kern w:val="0"/>
          <w:sz w:val="21"/>
          <w:szCs w:val="21"/>
          <w:highlight w:val="none"/>
          <w:lang w:val="en-US" w:eastAsia="zh-CN"/>
        </w:rPr>
        <w:t>18处建筑物的保护提升改造（包含文物保护单位、历史建筑保护修缮）及中山中路、巡查巷路面约8143.82平方米铺装工程，照明工程等。</w:t>
      </w:r>
    </w:p>
    <w:p w14:paraId="7EA74F2E">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200"/>
        <w:textAlignment w:val="auto"/>
        <w:rPr>
          <w:rFonts w:hint="eastAsia" w:ascii="仿宋_GB2312" w:hAnsi="仿宋_GB2312" w:eastAsia="仿宋_GB2312" w:cs="仿宋_GB2312"/>
          <w:b/>
          <w:bCs/>
          <w:color w:val="auto"/>
          <w:kern w:val="0"/>
          <w:sz w:val="21"/>
          <w:szCs w:val="21"/>
          <w:u w:val="single"/>
          <w:lang w:val="en-US" w:eastAsia="zh-CN"/>
        </w:rPr>
      </w:pPr>
      <w:r>
        <w:rPr>
          <w:rFonts w:hint="eastAsia" w:ascii="仿宋_GB2312" w:hAnsi="仿宋_GB2312" w:eastAsia="仿宋_GB2312" w:cs="仿宋_GB2312"/>
          <w:b/>
          <w:bCs/>
          <w:color w:val="auto"/>
          <w:kern w:val="0"/>
          <w:sz w:val="21"/>
          <w:szCs w:val="21"/>
          <w:lang w:val="en-US" w:eastAsia="zh-CN"/>
        </w:rPr>
        <w:t>六、采购</w:t>
      </w:r>
      <w:r>
        <w:rPr>
          <w:rFonts w:hint="eastAsia" w:ascii="仿宋_GB2312" w:hAnsi="仿宋_GB2312" w:eastAsia="仿宋_GB2312" w:cs="仿宋_GB2312"/>
          <w:b/>
          <w:bCs/>
          <w:color w:val="auto"/>
          <w:kern w:val="0"/>
          <w:sz w:val="21"/>
          <w:szCs w:val="21"/>
        </w:rPr>
        <w:t>范围</w:t>
      </w:r>
      <w:r>
        <w:rPr>
          <w:rFonts w:hint="eastAsia" w:ascii="仿宋_GB2312" w:hAnsi="仿宋_GB2312" w:eastAsia="仿宋_GB2312" w:cs="仿宋_GB2312"/>
          <w:b/>
          <w:bCs/>
          <w:color w:val="auto"/>
          <w:kern w:val="0"/>
          <w:sz w:val="21"/>
          <w:szCs w:val="21"/>
          <w:lang w:eastAsia="zh-CN"/>
        </w:rPr>
        <w:t>：</w:t>
      </w:r>
    </w:p>
    <w:p w14:paraId="0DD8EC9B">
      <w:pPr>
        <w:widowControl/>
        <w:numPr>
          <w:ilvl w:val="0"/>
          <w:numId w:val="0"/>
        </w:numPr>
        <w:snapToGrid w:val="0"/>
        <w:spacing w:line="360" w:lineRule="auto"/>
        <w:ind w:leftChars="0" w:firstLine="420" w:firstLineChars="200"/>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本次石材采购内容主要为中山路历史文化街区改造项目样板段保护提升工程所需的石材、面砖及侧石等材料，总采购量约8875平方米，主要包括：轻度做旧荔枝面中国黑花岗岩约2816平方米、花岗岩烧面轻度做旧中国黑约1690平方米、荔枝面芝麻黑花岗岩约1006平方米、烧面芝麻黑侧石约1178米、轻度做旧烧面中国黑小料石约747平方米、大阶砖约620平方米、小青砖约250平方米、各类盲道石材约345平方米，以及其他少量规格的花岗岩、瓷砖、花砖等，所有石材均要求按图加工，具体详见图纸及清单。</w:t>
      </w:r>
    </w:p>
    <w:p w14:paraId="04B78A65">
      <w:pPr>
        <w:widowControl/>
        <w:numPr>
          <w:ilvl w:val="0"/>
          <w:numId w:val="0"/>
        </w:numPr>
        <w:snapToGrid w:val="0"/>
        <w:spacing w:line="360" w:lineRule="auto"/>
        <w:ind w:left="40" w:leftChars="0" w:firstLine="422" w:firstLineChars="200"/>
        <w:rPr>
          <w:rFonts w:hint="default"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七、服务</w:t>
      </w:r>
      <w:r>
        <w:rPr>
          <w:rFonts w:hint="eastAsia" w:ascii="仿宋_GB2312" w:hAnsi="仿宋_GB2312" w:eastAsia="仿宋_GB2312" w:cs="仿宋_GB2312"/>
          <w:b/>
          <w:bCs/>
          <w:color w:val="auto"/>
          <w:kern w:val="0"/>
          <w:sz w:val="21"/>
          <w:szCs w:val="21"/>
        </w:rPr>
        <w:t>期</w:t>
      </w:r>
      <w:r>
        <w:rPr>
          <w:rFonts w:hint="eastAsia" w:ascii="仿宋_GB2312" w:hAnsi="仿宋_GB2312" w:eastAsia="仿宋_GB2312" w:cs="仿宋_GB2312"/>
          <w:b/>
          <w:bCs/>
          <w:color w:val="auto"/>
          <w:kern w:val="0"/>
          <w:sz w:val="21"/>
          <w:szCs w:val="21"/>
          <w:lang w:val="en-US" w:eastAsia="zh-CN"/>
        </w:rPr>
        <w:t>及数量</w:t>
      </w:r>
    </w:p>
    <w:p w14:paraId="7E754C51">
      <w:pPr>
        <w:widowControl/>
        <w:numPr>
          <w:ilvl w:val="0"/>
          <w:numId w:val="0"/>
        </w:numPr>
        <w:snapToGrid w:val="0"/>
        <w:spacing w:line="360" w:lineRule="auto"/>
        <w:ind w:leftChars="0"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highlight w:val="none"/>
          <w:lang w:val="en-US" w:eastAsia="zh-CN"/>
        </w:rPr>
        <w:t>送货时间及数量</w:t>
      </w:r>
      <w:r>
        <w:rPr>
          <w:rFonts w:hint="eastAsia" w:ascii="仿宋_GB2312" w:hAnsi="仿宋_GB2312" w:eastAsia="仿宋_GB2312" w:cs="仿宋_GB2312"/>
          <w:color w:val="auto"/>
          <w:kern w:val="0"/>
          <w:sz w:val="21"/>
          <w:szCs w:val="21"/>
          <w:highlight w:val="none"/>
        </w:rPr>
        <w:t>：所有产品供货期自</w:t>
      </w:r>
      <w:r>
        <w:rPr>
          <w:rFonts w:hint="eastAsia" w:ascii="仿宋_GB2312" w:hAnsi="仿宋_GB2312" w:eastAsia="仿宋_GB2312" w:cs="仿宋_GB2312"/>
          <w:color w:val="auto"/>
          <w:kern w:val="0"/>
          <w:sz w:val="21"/>
          <w:szCs w:val="21"/>
          <w:highlight w:val="none"/>
          <w:lang w:val="en-US" w:eastAsia="zh-CN"/>
        </w:rPr>
        <w:t>计划</w:t>
      </w:r>
      <w:r>
        <w:rPr>
          <w:rFonts w:hint="eastAsia" w:ascii="仿宋_GB2312" w:hAnsi="仿宋_GB2312" w:eastAsia="仿宋_GB2312" w:cs="仿宋_GB2312"/>
          <w:color w:val="auto"/>
          <w:kern w:val="0"/>
          <w:sz w:val="21"/>
          <w:szCs w:val="21"/>
          <w:highlight w:val="none"/>
          <w:u w:val="single"/>
          <w:lang w:val="en-US" w:eastAsia="zh-CN"/>
        </w:rPr>
        <w:t xml:space="preserve"> 2026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06 </w:t>
      </w:r>
      <w:r>
        <w:rPr>
          <w:rFonts w:hint="eastAsia" w:ascii="仿宋_GB2312" w:hAnsi="仿宋_GB2312" w:eastAsia="仿宋_GB2312" w:cs="仿宋_GB2312"/>
          <w:color w:val="auto"/>
          <w:kern w:val="0"/>
          <w:sz w:val="21"/>
          <w:szCs w:val="21"/>
          <w:highlight w:val="none"/>
          <w:u w:val="single"/>
        </w:rPr>
        <w:t>月</w:t>
      </w:r>
      <w:r>
        <w:rPr>
          <w:rFonts w:hint="eastAsia" w:ascii="仿宋_GB2312" w:hAnsi="仿宋_GB2312" w:eastAsia="仿宋_GB2312" w:cs="仿宋_GB2312"/>
          <w:color w:val="auto"/>
          <w:kern w:val="0"/>
          <w:sz w:val="21"/>
          <w:szCs w:val="21"/>
          <w:highlight w:val="none"/>
          <w:u w:val="single"/>
          <w:lang w:val="en-US" w:eastAsia="zh-CN"/>
        </w:rPr>
        <w:t xml:space="preserve"> 30  </w:t>
      </w:r>
      <w:r>
        <w:rPr>
          <w:rFonts w:hint="eastAsia" w:ascii="仿宋_GB2312" w:hAnsi="仿宋_GB2312" w:eastAsia="仿宋_GB2312" w:cs="仿宋_GB2312"/>
          <w:color w:val="auto"/>
          <w:kern w:val="0"/>
          <w:sz w:val="21"/>
          <w:szCs w:val="21"/>
          <w:highlight w:val="none"/>
          <w:u w:val="single"/>
        </w:rPr>
        <w:t>日至</w:t>
      </w:r>
      <w:r>
        <w:rPr>
          <w:rFonts w:hint="eastAsia" w:ascii="仿宋_GB2312" w:hAnsi="仿宋_GB2312" w:eastAsia="仿宋_GB2312" w:cs="仿宋_GB2312"/>
          <w:color w:val="auto"/>
          <w:kern w:val="0"/>
          <w:sz w:val="21"/>
          <w:szCs w:val="21"/>
          <w:highlight w:val="none"/>
          <w:u w:val="single"/>
          <w:lang w:val="en-US" w:eastAsia="zh-CN"/>
        </w:rPr>
        <w:t xml:space="preserve"> 2027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04 </w:t>
      </w:r>
      <w:r>
        <w:rPr>
          <w:rFonts w:hint="eastAsia" w:ascii="仿宋_GB2312" w:hAnsi="仿宋_GB2312" w:eastAsia="仿宋_GB2312" w:cs="仿宋_GB2312"/>
          <w:color w:val="auto"/>
          <w:kern w:val="0"/>
          <w:sz w:val="21"/>
          <w:szCs w:val="21"/>
          <w:highlight w:val="none"/>
          <w:u w:val="single"/>
        </w:rPr>
        <w:t xml:space="preserve">月 </w:t>
      </w:r>
      <w:r>
        <w:rPr>
          <w:rFonts w:hint="eastAsia" w:ascii="仿宋_GB2312" w:hAnsi="仿宋_GB2312" w:eastAsia="仿宋_GB2312" w:cs="仿宋_GB2312"/>
          <w:color w:val="auto"/>
          <w:kern w:val="0"/>
          <w:sz w:val="21"/>
          <w:szCs w:val="21"/>
          <w:highlight w:val="none"/>
          <w:u w:val="single"/>
          <w:lang w:val="en-US" w:eastAsia="zh-CN"/>
        </w:rPr>
        <w:t xml:space="preserve">06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rPr>
        <w:t>，工期为</w:t>
      </w:r>
      <w:r>
        <w:rPr>
          <w:rFonts w:hint="eastAsia" w:ascii="仿宋_GB2312" w:hAnsi="仿宋_GB2312" w:eastAsia="仿宋_GB2312" w:cs="仿宋_GB2312"/>
          <w:color w:val="auto"/>
          <w:kern w:val="0"/>
          <w:sz w:val="21"/>
          <w:szCs w:val="21"/>
          <w:highlight w:val="none"/>
          <w:u w:val="single"/>
          <w:lang w:val="en-US" w:eastAsia="zh-CN"/>
        </w:rPr>
        <w:t xml:space="preserve"> 280  </w:t>
      </w:r>
      <w:r>
        <w:rPr>
          <w:rFonts w:hint="eastAsia" w:ascii="仿宋_GB2312" w:hAnsi="仿宋_GB2312" w:eastAsia="仿宋_GB2312" w:cs="仿宋_GB2312"/>
          <w:color w:val="auto"/>
          <w:kern w:val="0"/>
          <w:sz w:val="21"/>
          <w:szCs w:val="21"/>
          <w:highlight w:val="none"/>
        </w:rPr>
        <w:t>个日历天</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lang w:val="en-US" w:eastAsia="zh-CN"/>
        </w:rPr>
        <w:t>具体送货、备货时间以项目部正式通知为准，乙方承诺无条件配合甲方项目部根据施工进度安排对产品供货期的调整</w:t>
      </w:r>
      <w:r>
        <w:rPr>
          <w:rFonts w:hint="eastAsia" w:ascii="仿宋_GB2312" w:hAnsi="仿宋_GB2312" w:eastAsia="仿宋_GB2312" w:cs="仿宋_GB2312"/>
          <w:color w:val="auto"/>
          <w:kern w:val="0"/>
          <w:sz w:val="21"/>
          <w:szCs w:val="21"/>
        </w:rPr>
        <w:t>。</w:t>
      </w:r>
    </w:p>
    <w:p w14:paraId="1CD5A433">
      <w:pPr>
        <w:widowControl/>
        <w:numPr>
          <w:ilvl w:val="0"/>
          <w:numId w:val="0"/>
        </w:numPr>
        <w:snapToGrid w:val="0"/>
        <w:spacing w:line="360" w:lineRule="auto"/>
        <w:ind w:left="0" w:leftChars="0" w:firstLine="422" w:firstLineChars="200"/>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lang w:val="en-US" w:eastAsia="zh-CN"/>
        </w:rPr>
        <w:t>八、</w:t>
      </w:r>
      <w:r>
        <w:rPr>
          <w:rFonts w:hint="eastAsia" w:ascii="仿宋_GB2312" w:hAnsi="仿宋_GB2312" w:eastAsia="仿宋_GB2312" w:cs="仿宋_GB2312"/>
          <w:b/>
          <w:bCs/>
          <w:color w:val="auto"/>
          <w:kern w:val="0"/>
          <w:sz w:val="21"/>
          <w:szCs w:val="21"/>
        </w:rPr>
        <w:t>投标</w:t>
      </w:r>
      <w:r>
        <w:rPr>
          <w:rFonts w:hint="eastAsia" w:ascii="仿宋_GB2312" w:hAnsi="仿宋_GB2312" w:eastAsia="仿宋_GB2312" w:cs="仿宋_GB2312"/>
          <w:b/>
          <w:bCs/>
          <w:color w:val="auto"/>
          <w:kern w:val="0"/>
          <w:sz w:val="21"/>
          <w:szCs w:val="21"/>
          <w:highlight w:val="none"/>
        </w:rPr>
        <w:t>文件的递交时间及开标地点</w:t>
      </w:r>
    </w:p>
    <w:p w14:paraId="72C0E9EA">
      <w:pPr>
        <w:widowControl/>
        <w:numPr>
          <w:ilvl w:val="0"/>
          <w:numId w:val="0"/>
        </w:numPr>
        <w:snapToGrid w:val="0"/>
        <w:spacing w:line="360" w:lineRule="auto"/>
        <w:ind w:left="0" w:leftChars="0" w:firstLine="420" w:firstLineChars="2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以密封形式于</w:t>
      </w:r>
      <w:r>
        <w:rPr>
          <w:rFonts w:hint="eastAsia" w:ascii="仿宋_GB2312" w:hAnsi="仿宋_GB2312" w:eastAsia="仿宋_GB2312" w:cs="仿宋_GB2312"/>
          <w:color w:val="auto"/>
          <w:kern w:val="0"/>
          <w:sz w:val="21"/>
          <w:szCs w:val="21"/>
          <w:highlight w:val="none"/>
          <w:u w:val="single"/>
          <w:lang w:val="en-US" w:eastAsia="zh-CN"/>
        </w:rPr>
        <w:t xml:space="preserve">    2026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06 </w:t>
      </w:r>
      <w:r>
        <w:rPr>
          <w:rFonts w:hint="eastAsia" w:ascii="仿宋_GB2312" w:hAnsi="仿宋_GB2312" w:eastAsia="仿宋_GB2312" w:cs="仿宋_GB2312"/>
          <w:color w:val="auto"/>
          <w:kern w:val="0"/>
          <w:sz w:val="21"/>
          <w:szCs w:val="21"/>
          <w:highlight w:val="none"/>
          <w:u w:val="single"/>
        </w:rPr>
        <w:t>月</w:t>
      </w:r>
      <w:r>
        <w:rPr>
          <w:rFonts w:hint="eastAsia" w:ascii="仿宋_GB2312" w:hAnsi="仿宋_GB2312" w:eastAsia="仿宋_GB2312" w:cs="仿宋_GB2312"/>
          <w:color w:val="auto"/>
          <w:kern w:val="0"/>
          <w:sz w:val="21"/>
          <w:szCs w:val="21"/>
          <w:highlight w:val="none"/>
          <w:u w:val="single"/>
          <w:lang w:val="en-US" w:eastAsia="zh-CN"/>
        </w:rPr>
        <w:t xml:space="preserve"> 11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u w:val="single"/>
          <w:lang w:val="en-US" w:eastAsia="zh-CN"/>
        </w:rPr>
        <w:t xml:space="preserve">  16  </w:t>
      </w:r>
      <w:r>
        <w:rPr>
          <w:rFonts w:hint="eastAsia" w:ascii="仿宋_GB2312" w:hAnsi="仿宋_GB2312" w:eastAsia="仿宋_GB2312" w:cs="仿宋_GB2312"/>
          <w:color w:val="auto"/>
          <w:kern w:val="0"/>
          <w:sz w:val="21"/>
          <w:szCs w:val="21"/>
          <w:highlight w:val="none"/>
          <w:u w:val="single"/>
        </w:rPr>
        <w:t>时</w:t>
      </w:r>
      <w:r>
        <w:rPr>
          <w:rFonts w:hint="eastAsia" w:ascii="仿宋_GB2312" w:hAnsi="仿宋_GB2312" w:eastAsia="仿宋_GB2312" w:cs="仿宋_GB2312"/>
          <w:color w:val="auto"/>
          <w:kern w:val="0"/>
          <w:sz w:val="21"/>
          <w:szCs w:val="21"/>
          <w:highlight w:val="none"/>
          <w:u w:val="single"/>
          <w:lang w:val="en-US" w:eastAsia="zh-CN"/>
        </w:rPr>
        <w:t xml:space="preserve"> 00  </w:t>
      </w:r>
      <w:r>
        <w:rPr>
          <w:rFonts w:hint="eastAsia" w:ascii="仿宋_GB2312" w:hAnsi="仿宋_GB2312" w:eastAsia="仿宋_GB2312" w:cs="仿宋_GB2312"/>
          <w:color w:val="auto"/>
          <w:kern w:val="0"/>
          <w:sz w:val="21"/>
          <w:szCs w:val="21"/>
          <w:highlight w:val="none"/>
          <w:u w:val="single"/>
        </w:rPr>
        <w:t>分</w:t>
      </w:r>
      <w:r>
        <w:rPr>
          <w:rFonts w:hint="eastAsia" w:ascii="仿宋_GB2312" w:hAnsi="仿宋_GB2312" w:eastAsia="仿宋_GB2312" w:cs="仿宋_GB2312"/>
          <w:color w:val="auto"/>
          <w:kern w:val="0"/>
          <w:sz w:val="21"/>
          <w:szCs w:val="21"/>
          <w:highlight w:val="none"/>
        </w:rPr>
        <w:t>前递交，截止时间为</w:t>
      </w:r>
      <w:r>
        <w:rPr>
          <w:rFonts w:hint="eastAsia" w:ascii="仿宋_GB2312" w:hAnsi="仿宋_GB2312" w:eastAsia="仿宋_GB2312" w:cs="仿宋_GB2312"/>
          <w:color w:val="auto"/>
          <w:kern w:val="0"/>
          <w:sz w:val="21"/>
          <w:szCs w:val="21"/>
          <w:highlight w:val="none"/>
          <w:u w:val="single"/>
          <w:lang w:val="en-US" w:eastAsia="zh-CN"/>
        </w:rPr>
        <w:t xml:space="preserve">  2026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u w:val="single"/>
          <w:lang w:val="en-US" w:eastAsia="zh-CN"/>
        </w:rPr>
        <w:t xml:space="preserve"> 06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u w:val="single"/>
          <w:lang w:val="en-US" w:eastAsia="zh-CN"/>
        </w:rPr>
        <w:t xml:space="preserve">  11  </w:t>
      </w:r>
      <w:r>
        <w:rPr>
          <w:rFonts w:hint="eastAsia" w:ascii="仿宋_GB2312" w:hAnsi="仿宋_GB2312" w:eastAsia="仿宋_GB2312" w:cs="仿宋_GB2312"/>
          <w:color w:val="auto"/>
          <w:kern w:val="0"/>
          <w:sz w:val="21"/>
          <w:szCs w:val="21"/>
          <w:highlight w:val="none"/>
        </w:rPr>
        <w:t>日</w:t>
      </w:r>
      <w:r>
        <w:rPr>
          <w:rFonts w:hint="eastAsia" w:ascii="仿宋_GB2312" w:hAnsi="仿宋_GB2312" w:eastAsia="仿宋_GB2312" w:cs="仿宋_GB2312"/>
          <w:color w:val="auto"/>
          <w:kern w:val="0"/>
          <w:sz w:val="21"/>
          <w:szCs w:val="21"/>
          <w:highlight w:val="none"/>
          <w:u w:val="single"/>
          <w:lang w:val="en-US" w:eastAsia="zh-CN"/>
        </w:rPr>
        <w:t xml:space="preserve">  16  </w:t>
      </w:r>
      <w:r>
        <w:rPr>
          <w:rFonts w:hint="eastAsia" w:ascii="仿宋_GB2312" w:hAnsi="仿宋_GB2312" w:eastAsia="仿宋_GB2312" w:cs="仿宋_GB2312"/>
          <w:color w:val="auto"/>
          <w:kern w:val="0"/>
          <w:sz w:val="21"/>
          <w:szCs w:val="21"/>
          <w:highlight w:val="none"/>
        </w:rPr>
        <w:t>时</w:t>
      </w:r>
      <w:r>
        <w:rPr>
          <w:rFonts w:hint="eastAsia" w:ascii="仿宋_GB2312" w:hAnsi="仿宋_GB2312" w:eastAsia="仿宋_GB2312" w:cs="仿宋_GB2312"/>
          <w:color w:val="auto"/>
          <w:kern w:val="0"/>
          <w:sz w:val="21"/>
          <w:szCs w:val="21"/>
          <w:highlight w:val="none"/>
          <w:u w:val="single"/>
          <w:lang w:val="en-US" w:eastAsia="zh-CN"/>
        </w:rPr>
        <w:t xml:space="preserve">  00 </w:t>
      </w:r>
      <w:r>
        <w:rPr>
          <w:rFonts w:hint="eastAsia" w:ascii="仿宋_GB2312" w:hAnsi="仿宋_GB2312" w:eastAsia="仿宋_GB2312" w:cs="仿宋_GB2312"/>
          <w:color w:val="auto"/>
          <w:kern w:val="0"/>
          <w:sz w:val="21"/>
          <w:szCs w:val="21"/>
          <w:highlight w:val="none"/>
        </w:rPr>
        <w:t>分，所有报价文件必须在规定的递交截止时间前按规定送达采购方，逾期恕不接受。</w:t>
      </w:r>
    </w:p>
    <w:p w14:paraId="21F8434E">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开标地址：东莞市南城</w:t>
      </w:r>
      <w:r>
        <w:rPr>
          <w:rFonts w:hint="eastAsia" w:ascii="仿宋_GB2312" w:hAnsi="仿宋_GB2312" w:eastAsia="仿宋_GB2312" w:cs="仿宋_GB2312"/>
          <w:color w:val="auto"/>
          <w:kern w:val="0"/>
          <w:sz w:val="21"/>
          <w:szCs w:val="21"/>
          <w:highlight w:val="none"/>
          <w:lang w:val="en-US" w:eastAsia="zh-CN"/>
        </w:rPr>
        <w:t>街道城市风景街8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color w:val="auto"/>
          <w:kern w:val="0"/>
          <w:sz w:val="21"/>
          <w:szCs w:val="21"/>
          <w:highlight w:val="none"/>
          <w:lang w:val="en-US" w:eastAsia="zh-CN"/>
        </w:rPr>
        <w:t>4</w:t>
      </w:r>
      <w:r>
        <w:rPr>
          <w:rFonts w:hint="eastAsia" w:ascii="仿宋_GB2312" w:hAnsi="仿宋_GB2312" w:eastAsia="仿宋_GB2312" w:cs="仿宋_GB2312"/>
          <w:color w:val="auto"/>
          <w:kern w:val="0"/>
          <w:sz w:val="21"/>
          <w:szCs w:val="21"/>
          <w:highlight w:val="none"/>
        </w:rPr>
        <w:t>层</w:t>
      </w:r>
      <w:r>
        <w:rPr>
          <w:rFonts w:hint="eastAsia" w:ascii="仿宋_GB2312" w:hAnsi="仿宋_GB2312" w:eastAsia="仿宋_GB2312" w:cs="仿宋_GB2312"/>
          <w:color w:val="auto"/>
          <w:kern w:val="0"/>
          <w:sz w:val="21"/>
          <w:szCs w:val="21"/>
          <w:highlight w:val="none"/>
          <w:lang w:eastAsia="zh-CN"/>
        </w:rPr>
        <w:t>城</w:t>
      </w:r>
      <w:bookmarkStart w:id="0" w:name="_GoBack"/>
      <w:bookmarkEnd w:id="0"/>
      <w:r>
        <w:rPr>
          <w:rFonts w:hint="eastAsia" w:ascii="仿宋_GB2312" w:hAnsi="仿宋_GB2312" w:eastAsia="仿宋_GB2312" w:cs="仿宋_GB2312"/>
          <w:color w:val="auto"/>
          <w:kern w:val="0"/>
          <w:sz w:val="21"/>
          <w:szCs w:val="21"/>
          <w:highlight w:val="none"/>
          <w:lang w:eastAsia="zh-CN"/>
        </w:rPr>
        <w:t>工集团</w:t>
      </w:r>
      <w:r>
        <w:rPr>
          <w:rFonts w:hint="eastAsia" w:ascii="仿宋_GB2312" w:hAnsi="仿宋_GB2312" w:eastAsia="仿宋_GB2312" w:cs="仿宋_GB2312"/>
          <w:color w:val="auto"/>
          <w:kern w:val="0"/>
          <w:sz w:val="21"/>
          <w:szCs w:val="21"/>
          <w:highlight w:val="none"/>
        </w:rPr>
        <w:t>开标室。</w:t>
      </w:r>
    </w:p>
    <w:p w14:paraId="68B817A7">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lang w:val="en-US" w:eastAsia="zh-CN"/>
        </w:rPr>
        <w:t>九</w:t>
      </w:r>
      <w:r>
        <w:rPr>
          <w:rFonts w:hint="eastAsia" w:ascii="仿宋_GB2312" w:hAnsi="仿宋_GB2312" w:eastAsia="仿宋_GB2312" w:cs="仿宋_GB2312"/>
          <w:b/>
          <w:bCs/>
          <w:color w:val="auto"/>
          <w:kern w:val="0"/>
          <w:sz w:val="21"/>
          <w:szCs w:val="21"/>
          <w:highlight w:val="none"/>
        </w:rPr>
        <w:t>、注意事项</w:t>
      </w:r>
    </w:p>
    <w:p w14:paraId="20010256">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1、投标人必须全面响应采购文件要求，投标人任何附加条件采购人一律不接受或视为废标。</w:t>
      </w:r>
    </w:p>
    <w:p w14:paraId="2330B283">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2、投标文件严禁出现不平衡报价。</w:t>
      </w:r>
    </w:p>
    <w:p w14:paraId="2BC5172D">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、质量要求：现行的施工规范要求</w:t>
      </w:r>
      <w:r>
        <w:rPr>
          <w:rFonts w:hint="eastAsia" w:ascii="仿宋_GB2312" w:hAnsi="仿宋_GB2312" w:eastAsia="仿宋_GB2312" w:cs="仿宋_GB2312"/>
          <w:color w:val="FF0000"/>
          <w:kern w:val="0"/>
          <w:szCs w:val="21"/>
        </w:rPr>
        <w:t>及用户需求书列明的质量管控要求</w:t>
      </w:r>
      <w:r>
        <w:rPr>
          <w:rFonts w:hint="eastAsia" w:ascii="仿宋_GB2312" w:hAnsi="仿宋_GB2312" w:eastAsia="仿宋_GB2312" w:cs="仿宋_GB2312"/>
          <w:color w:val="auto"/>
          <w:kern w:val="0"/>
          <w:sz w:val="21"/>
          <w:szCs w:val="21"/>
          <w:highlight w:val="none"/>
        </w:rPr>
        <w:t>。</w:t>
      </w:r>
    </w:p>
    <w:p w14:paraId="6A07F6F8">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采购</w:t>
      </w:r>
      <w:r>
        <w:rPr>
          <w:rFonts w:hint="eastAsia" w:ascii="仿宋_GB2312" w:hAnsi="仿宋_GB2312" w:eastAsia="仿宋_GB2312" w:cs="仿宋_GB2312"/>
          <w:b/>
          <w:bCs/>
          <w:color w:val="auto"/>
          <w:kern w:val="0"/>
          <w:sz w:val="21"/>
          <w:szCs w:val="21"/>
          <w:highlight w:val="none"/>
        </w:rPr>
        <w:t>文件获取</w:t>
      </w:r>
    </w:p>
    <w:p w14:paraId="147FEA9C">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官网（http:</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w:t>
      </w:r>
      <w:r>
        <w:rPr>
          <w:rFonts w:hint="eastAsia" w:ascii="仿宋_GB2312" w:hAnsi="仿宋_GB2312" w:eastAsia="仿宋_GB2312" w:cs="仿宋_GB2312"/>
          <w:color w:val="auto"/>
          <w:kern w:val="0"/>
          <w:sz w:val="21"/>
          <w:szCs w:val="21"/>
          <w:highlight w:val="none"/>
          <w:lang w:val="en-US" w:eastAsia="zh-CN"/>
        </w:rPr>
        <w:t>www.</w:t>
      </w:r>
      <w:r>
        <w:rPr>
          <w:rFonts w:hint="eastAsia" w:ascii="仿宋_GB2312" w:hAnsi="仿宋_GB2312" w:eastAsia="仿宋_GB2312" w:cs="仿宋_GB2312"/>
          <w:color w:val="auto"/>
          <w:kern w:val="0"/>
          <w:sz w:val="21"/>
          <w:szCs w:val="21"/>
          <w:highlight w:val="none"/>
        </w:rPr>
        <w:t>dggcc.cn）。</w:t>
      </w:r>
    </w:p>
    <w:p w14:paraId="20CBEFC5">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lang w:val="en-US" w:eastAsia="zh-CN"/>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一</w:t>
      </w:r>
      <w:r>
        <w:rPr>
          <w:rFonts w:hint="eastAsia" w:ascii="仿宋_GB2312" w:hAnsi="仿宋_GB2312" w:eastAsia="仿宋_GB2312" w:cs="仿宋_GB2312"/>
          <w:b/>
          <w:bCs/>
          <w:color w:val="auto"/>
          <w:kern w:val="0"/>
          <w:sz w:val="21"/>
          <w:szCs w:val="21"/>
          <w:highlight w:val="none"/>
        </w:rPr>
        <w:t>、</w:t>
      </w:r>
      <w:r>
        <w:rPr>
          <w:rFonts w:hint="eastAsia" w:ascii="仿宋_GB2312" w:hAnsi="仿宋_GB2312" w:eastAsia="仿宋_GB2312" w:cs="仿宋_GB2312"/>
          <w:b/>
          <w:bCs/>
          <w:color w:val="auto"/>
          <w:kern w:val="0"/>
          <w:sz w:val="21"/>
          <w:szCs w:val="21"/>
          <w:highlight w:val="none"/>
          <w:lang w:val="en-US" w:eastAsia="zh-CN"/>
        </w:rPr>
        <w:t>其他及特别内容说明</w:t>
      </w:r>
    </w:p>
    <w:p w14:paraId="76557C8F">
      <w:pPr>
        <w:widowControl/>
        <w:snapToGrid w:val="0"/>
        <w:spacing w:line="360" w:lineRule="auto"/>
        <w:ind w:left="0" w:leftChars="0" w:firstLine="367" w:firstLineChars="175"/>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参考品牌：</w:t>
      </w:r>
      <w:r>
        <w:rPr>
          <w:rFonts w:hint="eastAsia" w:ascii="仿宋_GB2312" w:hAnsi="仿宋_GB2312" w:eastAsia="仿宋_GB2312" w:cs="仿宋_GB2312"/>
          <w:b w:val="0"/>
          <w:bCs w:val="0"/>
          <w:color w:val="auto"/>
          <w:kern w:val="0"/>
          <w:sz w:val="21"/>
          <w:szCs w:val="21"/>
          <w:highlight w:val="none"/>
          <w:u w:val="single"/>
          <w:lang w:val="en-US" w:eastAsia="zh-CN"/>
        </w:rPr>
        <w:t xml:space="preserve">  /   </w:t>
      </w:r>
      <w:r>
        <w:rPr>
          <w:rFonts w:hint="eastAsia" w:ascii="仿宋_GB2312" w:hAnsi="仿宋_GB2312" w:eastAsia="仿宋_GB2312" w:cs="仿宋_GB2312"/>
          <w:b w:val="0"/>
          <w:bCs w:val="0"/>
          <w:color w:val="auto"/>
          <w:kern w:val="0"/>
          <w:sz w:val="21"/>
          <w:szCs w:val="21"/>
          <w:highlight w:val="none"/>
          <w:lang w:val="en-US" w:eastAsia="zh-CN"/>
        </w:rPr>
        <w:t>；进场需经采购人审核同意方可使用。</w:t>
      </w:r>
    </w:p>
    <w:p w14:paraId="12589A3C">
      <w:pPr>
        <w:widowControl/>
        <w:snapToGrid w:val="0"/>
        <w:spacing w:line="360" w:lineRule="auto"/>
        <w:ind w:left="0" w:leftChars="0" w:firstLine="369"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二</w:t>
      </w:r>
      <w:r>
        <w:rPr>
          <w:rFonts w:hint="eastAsia" w:ascii="仿宋_GB2312" w:hAnsi="仿宋_GB2312" w:eastAsia="仿宋_GB2312" w:cs="仿宋_GB2312"/>
          <w:color w:val="auto"/>
          <w:kern w:val="0"/>
          <w:sz w:val="21"/>
          <w:szCs w:val="21"/>
          <w:highlight w:val="none"/>
        </w:rPr>
        <w:t xml:space="preserve">、有关此次采购答疑事宜，按下列地址以书面或电话形式向采购人查询：  </w:t>
      </w:r>
    </w:p>
    <w:p w14:paraId="303D3808">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rPr>
        <w:t>采购人：</w:t>
      </w:r>
      <w:r>
        <w:rPr>
          <w:rFonts w:hint="eastAsia" w:ascii="仿宋_GB2312" w:hAnsi="仿宋_GB2312" w:eastAsia="仿宋_GB2312" w:cs="仿宋_GB2312"/>
          <w:color w:val="auto"/>
          <w:kern w:val="0"/>
          <w:sz w:val="21"/>
          <w:szCs w:val="21"/>
          <w:highlight w:val="none"/>
          <w:lang w:eastAsia="zh-CN"/>
        </w:rPr>
        <w:t>东莞市城市工程建设集团有限公司</w:t>
      </w:r>
    </w:p>
    <w:p w14:paraId="66C49C48">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地址：东莞市南城区城市风景街</w:t>
      </w:r>
      <w:r>
        <w:rPr>
          <w:rFonts w:hint="eastAsia" w:ascii="仿宋_GB2312" w:hAnsi="仿宋_GB2312" w:eastAsia="仿宋_GB2312" w:cs="仿宋_GB2312"/>
          <w:color w:val="auto"/>
          <w:kern w:val="0"/>
          <w:sz w:val="21"/>
          <w:szCs w:val="21"/>
          <w:highlight w:val="none"/>
          <w:lang w:val="en-US" w:eastAsia="zh-CN"/>
        </w:rPr>
        <w:t>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b w:val="0"/>
          <w:bCs w:val="0"/>
          <w:color w:val="auto"/>
          <w:kern w:val="0"/>
          <w:sz w:val="21"/>
          <w:szCs w:val="21"/>
          <w:highlight w:val="none"/>
          <w:lang w:val="en-US" w:eastAsia="zh-CN"/>
        </w:rPr>
        <w:t>7</w:t>
      </w:r>
      <w:r>
        <w:rPr>
          <w:rFonts w:hint="eastAsia" w:ascii="仿宋_GB2312" w:hAnsi="仿宋_GB2312" w:eastAsia="仿宋_GB2312" w:cs="仿宋_GB2312"/>
          <w:color w:val="auto"/>
          <w:kern w:val="0"/>
          <w:sz w:val="21"/>
          <w:szCs w:val="21"/>
          <w:highlight w:val="none"/>
        </w:rPr>
        <w:t>层。</w:t>
      </w:r>
    </w:p>
    <w:p w14:paraId="0DBE7D90">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联系人：</w:t>
      </w:r>
      <w:r>
        <w:rPr>
          <w:rFonts w:hint="eastAsia" w:ascii="仿宋_GB2312" w:hAnsi="仿宋_GB2312" w:eastAsia="仿宋_GB2312" w:cs="仿宋_GB2312"/>
          <w:color w:val="auto"/>
          <w:kern w:val="0"/>
          <w:sz w:val="21"/>
          <w:szCs w:val="21"/>
          <w:highlight w:val="none"/>
          <w:lang w:val="en-US" w:eastAsia="zh-CN"/>
        </w:rPr>
        <w:t>黄工</w:t>
      </w:r>
      <w:r>
        <w:rPr>
          <w:rFonts w:hint="eastAsia" w:ascii="仿宋_GB2312" w:hAnsi="仿宋_GB2312" w:eastAsia="仿宋_GB2312" w:cs="仿宋_GB2312"/>
          <w:color w:val="auto"/>
          <w:kern w:val="0"/>
          <w:sz w:val="21"/>
          <w:szCs w:val="21"/>
          <w:highlight w:val="none"/>
        </w:rPr>
        <w:t xml:space="preserve">                   邮政编码：</w:t>
      </w:r>
      <w:r>
        <w:rPr>
          <w:rFonts w:hint="eastAsia" w:ascii="仿宋_GB2312" w:hAnsi="仿宋_GB2312" w:eastAsia="仿宋_GB2312" w:cs="仿宋_GB2312"/>
          <w:color w:val="auto"/>
          <w:kern w:val="0"/>
          <w:sz w:val="21"/>
          <w:szCs w:val="21"/>
          <w:highlight w:val="none"/>
          <w:lang w:val="en-US" w:eastAsia="zh-CN"/>
        </w:rPr>
        <w:t>523000</w:t>
      </w:r>
    </w:p>
    <w:p w14:paraId="5D344A93">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联系方式：</w:t>
      </w:r>
      <w:r>
        <w:rPr>
          <w:rFonts w:hint="eastAsia" w:ascii="仿宋_GB2312" w:hAnsi="仿宋_GB2312" w:eastAsia="仿宋_GB2312" w:cs="仿宋_GB2312"/>
          <w:color w:val="auto"/>
          <w:kern w:val="0"/>
          <w:sz w:val="21"/>
          <w:szCs w:val="21"/>
          <w:highlight w:val="none"/>
          <w:lang w:val="en-US" w:eastAsia="zh-CN"/>
        </w:rPr>
        <w:t>15017133726</w:t>
      </w:r>
      <w:r>
        <w:rPr>
          <w:rFonts w:hint="default"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rPr>
        <w:t>传真：0769-39009090</w:t>
      </w:r>
    </w:p>
    <w:p w14:paraId="5D565B74">
      <w:pPr>
        <w:widowControl/>
        <w:snapToGrid w:val="0"/>
        <w:spacing w:line="480" w:lineRule="auto"/>
        <w:ind w:firstLine="640"/>
        <w:jc w:val="right"/>
        <w:rPr>
          <w:rFonts w:hint="eastAsia" w:ascii="仿宋_GB2312" w:hAnsi="仿宋_GB2312" w:eastAsia="仿宋_GB2312" w:cs="仿宋_GB2312"/>
          <w:color w:val="auto"/>
          <w:kern w:val="0"/>
          <w:sz w:val="21"/>
          <w:szCs w:val="21"/>
          <w:highlight w:val="none"/>
          <w:lang w:eastAsia="zh-CN"/>
        </w:rPr>
      </w:pPr>
    </w:p>
    <w:p w14:paraId="7E35D740">
      <w:pPr>
        <w:widowControl/>
        <w:snapToGrid w:val="0"/>
        <w:spacing w:line="480" w:lineRule="auto"/>
        <w:ind w:firstLine="640"/>
        <w:jc w:val="righ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东莞市城市工程建设集团有限公司</w:t>
      </w:r>
    </w:p>
    <w:p w14:paraId="50A9EFA4">
      <w:pPr>
        <w:jc w:val="right"/>
      </w:pPr>
      <w:r>
        <w:rPr>
          <w:rFonts w:hint="eastAsia" w:ascii="仿宋_GB2312" w:hAnsi="仿宋_GB2312" w:eastAsia="仿宋_GB2312" w:cs="仿宋_GB2312"/>
          <w:color w:val="auto"/>
          <w:kern w:val="0"/>
          <w:sz w:val="21"/>
          <w:szCs w:val="21"/>
          <w:highlight w:val="none"/>
          <w:lang w:val="en-US" w:eastAsia="zh-CN"/>
        </w:rPr>
        <w:t xml:space="preserve">   2026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lang w:val="en-US" w:eastAsia="zh-CN"/>
        </w:rPr>
        <w:t xml:space="preserve"> 06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lang w:val="en-US" w:eastAsia="zh-CN"/>
        </w:rPr>
        <w:t xml:space="preserve"> 05  </w:t>
      </w:r>
      <w:r>
        <w:rPr>
          <w:rFonts w:hint="eastAsia" w:ascii="仿宋_GB2312" w:hAnsi="仿宋_GB2312" w:eastAsia="仿宋_GB2312" w:cs="仿宋_GB2312"/>
          <w:color w:val="auto"/>
          <w:kern w:val="0"/>
          <w:sz w:val="21"/>
          <w:szCs w:val="21"/>
          <w:highlight w:val="none"/>
        </w:rPr>
        <w:t xml:space="preserve">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b/>
        <w:bCs/>
      </w:rPr>
    </w:lvl>
  </w:abstractNum>
  <w:abstractNum w:abstractNumId="1">
    <w:nsid w:val="D7FD5A0E"/>
    <w:multiLevelType w:val="singleLevel"/>
    <w:tmpl w:val="D7FD5A0E"/>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6E4C8E"/>
    <w:rsid w:val="5C191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1048</Words>
  <Characters>1196</Characters>
  <Lines>0</Lines>
  <Paragraphs>0</Paragraphs>
  <TotalTime>0</TotalTime>
  <ScaleCrop>false</ScaleCrop>
  <LinksUpToDate>false</LinksUpToDate>
  <CharactersWithSpaces>1369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2026-06-01T06:34:00Z</dcterms:created>
  <dc:creator>lenovo</dc:creator>
  <cp:lastModifiedBy>黄惠东</cp:lastModifiedBy>
  <dcterms:modified xsi:type="dcterms:W3CDTF">2026-06-05T09:44:35Z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eyJoZGlkIjoiMDVhNGUzYzIxMzZiNGUwYjk4M2NhYzM1YTAzMjk5NTIiLCJ1c2VySWQiOiIxNTgyODExNDczIn0=</vt:lpwstr>
  </property>
  <property fmtid="{D5CDD505-2E9C-101B-9397-08002B2CF9AE}" pid="4" name="ICV">
    <vt:lpwstr>3E36F1EA65754A4BBAFC08E3E4D5851C_12</vt:lpwstr>
  </property>
</Properties>
</file>