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B3E75B">
      <w:pPr>
        <w:jc w:val="center"/>
        <w:rPr>
          <w:rFonts w:hint="eastAsia" w:ascii="楷体_GB2312" w:hAnsi="楷体_GB2312" w:eastAsia="楷体_GB2312" w:cs="楷体_GB2312"/>
          <w:sz w:val="32"/>
        </w:rPr>
      </w:pPr>
      <w:r>
        <w:rPr>
          <w:rFonts w:hint="eastAsia" w:ascii="楷体_GB2312" w:hAnsi="楷体_GB2312" w:eastAsia="楷体_GB2312" w:cs="楷体_GB2312"/>
          <w:sz w:val="32"/>
        </w:rPr>
        <w:t>采购公告</w:t>
      </w:r>
    </w:p>
    <w:p w14:paraId="37841542">
      <w:pPr>
        <w:widowControl/>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至：投标人</w:t>
      </w:r>
    </w:p>
    <w:p w14:paraId="67B69DD6">
      <w:pPr>
        <w:widowControl/>
        <w:snapToGrid w:val="0"/>
        <w:spacing w:line="360" w:lineRule="auto"/>
        <w:ind w:firstLine="525" w:firstLineChars="25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eastAsia="zh-CN"/>
        </w:rPr>
        <w:t>东莞城工集团市政工程有限公司</w:t>
      </w:r>
      <w:r>
        <w:rPr>
          <w:rFonts w:hint="eastAsia" w:ascii="仿宋_GB2312" w:hAnsi="仿宋_GB2312" w:eastAsia="仿宋_GB2312" w:cs="仿宋_GB2312"/>
          <w:kern w:val="0"/>
          <w:szCs w:val="21"/>
        </w:rPr>
        <w:t>就</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中山路历史文化街区改造项目市政基础设施提升改造工程综合劳务（二）</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进行</w:t>
      </w:r>
      <w:r>
        <w:rPr>
          <w:rFonts w:hint="eastAsia" w:ascii="仿宋_GB2312" w:hAnsi="仿宋_GB2312" w:eastAsia="仿宋_GB2312" w:cs="仿宋_GB2312"/>
          <w:kern w:val="0"/>
          <w:szCs w:val="21"/>
          <w:u w:val="single"/>
        </w:rPr>
        <w:t xml:space="preserve"> 公开采购 </w:t>
      </w:r>
      <w:r>
        <w:rPr>
          <w:rFonts w:hint="eastAsia" w:ascii="仿宋_GB2312" w:hAnsi="仿宋_GB2312" w:eastAsia="仿宋_GB2312" w:cs="仿宋_GB2312"/>
          <w:kern w:val="0"/>
          <w:szCs w:val="21"/>
        </w:rPr>
        <w:t>现将有关事项说明如下：</w:t>
      </w:r>
    </w:p>
    <w:p w14:paraId="34B71D1F">
      <w:pPr>
        <w:widowControl/>
        <w:numPr>
          <w:ilvl w:val="0"/>
          <w:numId w:val="1"/>
        </w:numPr>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项目名称：</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中山路历史文化街区改造项目市政基础设施提升改造工程综合劳务（二）</w:t>
      </w:r>
    </w:p>
    <w:p w14:paraId="0C205AE9">
      <w:pPr>
        <w:widowControl/>
        <w:numPr>
          <w:ilvl w:val="0"/>
          <w:numId w:val="1"/>
        </w:numPr>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项目编号：</w:t>
      </w:r>
      <w:r>
        <w:rPr>
          <w:rFonts w:hint="eastAsia" w:ascii="仿宋_GB2312" w:hAnsi="仿宋_GB2312" w:eastAsia="仿宋_GB2312" w:cs="仿宋_GB2312"/>
          <w:kern w:val="0"/>
          <w:szCs w:val="21"/>
          <w:u w:val="single"/>
        </w:rPr>
        <w:t xml:space="preserve">  ZBCG-</w:t>
      </w:r>
      <w:r>
        <w:rPr>
          <w:rFonts w:hint="eastAsia" w:ascii="仿宋_GB2312" w:hAnsi="仿宋_GB2312" w:eastAsia="仿宋_GB2312" w:cs="仿宋_GB2312"/>
          <w:kern w:val="0"/>
          <w:szCs w:val="21"/>
          <w:u w:val="single"/>
          <w:lang w:eastAsia="zh-CN"/>
        </w:rPr>
        <w:t>202</w:t>
      </w:r>
      <w:r>
        <w:rPr>
          <w:rFonts w:hint="eastAsia" w:ascii="仿宋_GB2312" w:hAnsi="仿宋_GB2312" w:eastAsia="仿宋_GB2312" w:cs="仿宋_GB2312"/>
          <w:kern w:val="0"/>
          <w:szCs w:val="21"/>
          <w:u w:val="single"/>
          <w:lang w:val="en-US" w:eastAsia="zh-CN"/>
        </w:rPr>
        <w:t>6</w:t>
      </w:r>
      <w:r>
        <w:rPr>
          <w:rFonts w:hint="eastAsia" w:ascii="仿宋_GB2312" w:hAnsi="仿宋_GB2312" w:eastAsia="仿宋_GB2312" w:cs="仿宋_GB2312"/>
          <w:kern w:val="0"/>
          <w:szCs w:val="21"/>
          <w:u w:val="single"/>
        </w:rPr>
        <w:t>-</w:t>
      </w:r>
      <w:r>
        <w:rPr>
          <w:rFonts w:hint="eastAsia" w:ascii="仿宋_GB2312" w:hAnsi="仿宋_GB2312" w:eastAsia="仿宋_GB2312" w:cs="仿宋_GB2312"/>
          <w:kern w:val="0"/>
          <w:szCs w:val="21"/>
          <w:u w:val="single"/>
          <w:lang w:val="en-US" w:eastAsia="zh-CN"/>
        </w:rPr>
        <w:t>090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 xml:space="preserve">  </w:t>
      </w:r>
      <w:bookmarkStart w:id="0" w:name="_GoBack"/>
      <w:bookmarkEnd w:id="0"/>
    </w:p>
    <w:p w14:paraId="17CB353B">
      <w:pPr>
        <w:widowControl/>
        <w:snapToGrid w:val="0"/>
        <w:spacing w:line="360" w:lineRule="auto"/>
        <w:ind w:left="42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三、工程地点：</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东莞石龙</w:t>
      </w:r>
      <w:r>
        <w:rPr>
          <w:rFonts w:hint="eastAsia" w:ascii="仿宋_GB2312" w:hAnsi="仿宋_GB2312" w:eastAsia="仿宋_GB2312" w:cs="仿宋_GB2312"/>
          <w:kern w:val="0"/>
          <w:szCs w:val="21"/>
          <w:u w:val="single"/>
        </w:rPr>
        <w:t xml:space="preserve">              </w:t>
      </w:r>
    </w:p>
    <w:p w14:paraId="76FD2E0D">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四、采购限价：</w:t>
      </w:r>
    </w:p>
    <w:p w14:paraId="5D6ECC5B">
      <w:pPr>
        <w:widowControl/>
        <w:snapToGrid w:val="0"/>
        <w:spacing w:line="360" w:lineRule="auto"/>
        <w:ind w:firstLine="367" w:firstLineChars="175"/>
        <w:rPr>
          <w:rFonts w:hint="eastAsia" w:ascii="仿宋_GB2312" w:hAnsi="仿宋_GB2312" w:eastAsia="仿宋_GB2312" w:cs="仿宋_GB2312"/>
          <w:color w:val="auto"/>
          <w:kern w:val="0"/>
          <w:szCs w:val="21"/>
        </w:rPr>
      </w:pPr>
      <w:r>
        <w:rPr>
          <w:rFonts w:hint="eastAsia" w:ascii="仿宋_GB2312" w:hAnsi="仿宋_GB2312" w:eastAsia="仿宋_GB2312" w:cs="仿宋_GB2312"/>
          <w:kern w:val="0"/>
          <w:szCs w:val="21"/>
        </w:rPr>
        <w:t>本项目采购控制价为</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 xml:space="preserve"> 1107586.22</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元（含税</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 xml:space="preserve"> 9</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w:t>
      </w:r>
      <w:r>
        <w:rPr>
          <w:rFonts w:hint="eastAsia" w:ascii="仿宋_GB2312" w:hAnsi="仿宋_GB2312" w:eastAsia="仿宋_GB2312" w:cs="仿宋_GB2312"/>
          <w:color w:val="auto"/>
          <w:kern w:val="0"/>
          <w:szCs w:val="21"/>
        </w:rPr>
        <w:t>,本项目采购限价下浮率为</w:t>
      </w:r>
      <w:r>
        <w:rPr>
          <w:rFonts w:hint="eastAsia" w:ascii="仿宋_GB2312" w:hAnsi="仿宋_GB2312" w:eastAsia="仿宋_GB2312" w:cs="仿宋_GB2312"/>
          <w:color w:val="auto"/>
          <w:kern w:val="0"/>
          <w:szCs w:val="21"/>
          <w:u w:val="single"/>
        </w:rPr>
        <w:t xml:space="preserve">  </w:t>
      </w:r>
      <w:r>
        <w:rPr>
          <w:rFonts w:hint="eastAsia" w:ascii="仿宋_GB2312" w:hAnsi="仿宋_GB2312" w:eastAsia="仿宋_GB2312" w:cs="仿宋_GB2312"/>
          <w:color w:val="auto"/>
          <w:kern w:val="0"/>
          <w:szCs w:val="21"/>
          <w:u w:val="single"/>
          <w:lang w:val="en-US" w:eastAsia="zh-CN"/>
        </w:rPr>
        <w:t>7.94</w:t>
      </w:r>
      <w:r>
        <w:rPr>
          <w:rFonts w:hint="eastAsia" w:ascii="仿宋_GB2312" w:hAnsi="仿宋_GB2312" w:eastAsia="仿宋_GB2312" w:cs="仿宋_GB2312"/>
          <w:color w:val="auto"/>
          <w:kern w:val="0"/>
          <w:szCs w:val="21"/>
          <w:u w:val="single"/>
        </w:rPr>
        <w:t xml:space="preserve">  </w:t>
      </w:r>
      <w:r>
        <w:rPr>
          <w:rFonts w:hint="eastAsia" w:ascii="仿宋_GB2312" w:hAnsi="仿宋_GB2312" w:eastAsia="仿宋_GB2312" w:cs="仿宋_GB2312"/>
          <w:color w:val="auto"/>
          <w:kern w:val="0"/>
          <w:szCs w:val="21"/>
        </w:rPr>
        <w:t>%，即采购限价为</w:t>
      </w:r>
      <w:r>
        <w:rPr>
          <w:rFonts w:hint="eastAsia" w:ascii="仿宋_GB2312" w:hAnsi="仿宋_GB2312" w:eastAsia="仿宋_GB2312" w:cs="仿宋_GB2312"/>
          <w:color w:val="auto"/>
          <w:kern w:val="0"/>
          <w:szCs w:val="21"/>
          <w:u w:val="single"/>
        </w:rPr>
        <w:t xml:space="preserve">¥ </w:t>
      </w:r>
      <w:r>
        <w:rPr>
          <w:rFonts w:hint="eastAsia" w:ascii="仿宋_GB2312" w:hAnsi="仿宋_GB2312" w:eastAsia="仿宋_GB2312" w:cs="仿宋_GB2312"/>
          <w:color w:val="auto"/>
          <w:kern w:val="0"/>
          <w:szCs w:val="21"/>
          <w:u w:val="single"/>
          <w:lang w:val="en-US" w:eastAsia="zh-CN"/>
        </w:rPr>
        <w:t>1019643.87</w:t>
      </w:r>
      <w:r>
        <w:rPr>
          <w:rFonts w:hint="eastAsia" w:ascii="仿宋_GB2312" w:hAnsi="仿宋_GB2312" w:eastAsia="仿宋_GB2312" w:cs="仿宋_GB2312"/>
          <w:color w:val="auto"/>
          <w:kern w:val="0"/>
          <w:szCs w:val="21"/>
          <w:u w:val="single"/>
        </w:rPr>
        <w:t xml:space="preserve"> </w:t>
      </w:r>
      <w:r>
        <w:rPr>
          <w:rFonts w:hint="eastAsia" w:ascii="仿宋_GB2312" w:hAnsi="仿宋_GB2312" w:eastAsia="仿宋_GB2312" w:cs="仿宋_GB2312"/>
          <w:color w:val="auto"/>
          <w:kern w:val="0"/>
          <w:szCs w:val="21"/>
        </w:rPr>
        <w:t>元（含税</w:t>
      </w:r>
      <w:r>
        <w:rPr>
          <w:rFonts w:hint="eastAsia" w:ascii="仿宋_GB2312" w:hAnsi="仿宋_GB2312" w:eastAsia="仿宋_GB2312" w:cs="仿宋_GB2312"/>
          <w:color w:val="auto"/>
          <w:kern w:val="0"/>
          <w:szCs w:val="21"/>
          <w:u w:val="single"/>
        </w:rPr>
        <w:t xml:space="preserve"> </w:t>
      </w:r>
      <w:r>
        <w:rPr>
          <w:rFonts w:hint="eastAsia" w:ascii="仿宋_GB2312" w:hAnsi="仿宋_GB2312" w:eastAsia="仿宋_GB2312" w:cs="仿宋_GB2312"/>
          <w:color w:val="auto"/>
          <w:kern w:val="0"/>
          <w:szCs w:val="21"/>
          <w:u w:val="single"/>
          <w:lang w:val="en-US" w:eastAsia="zh-CN"/>
        </w:rPr>
        <w:t>9</w:t>
      </w:r>
      <w:r>
        <w:rPr>
          <w:rFonts w:hint="eastAsia" w:ascii="仿宋_GB2312" w:hAnsi="仿宋_GB2312" w:eastAsia="仿宋_GB2312" w:cs="仿宋_GB2312"/>
          <w:color w:val="auto"/>
          <w:kern w:val="0"/>
          <w:szCs w:val="21"/>
          <w:u w:val="single"/>
        </w:rPr>
        <w:t xml:space="preserve"> </w:t>
      </w:r>
      <w:r>
        <w:rPr>
          <w:rFonts w:hint="eastAsia" w:ascii="仿宋_GB2312" w:hAnsi="仿宋_GB2312" w:eastAsia="仿宋_GB2312" w:cs="仿宋_GB2312"/>
          <w:color w:val="auto"/>
          <w:kern w:val="0"/>
          <w:szCs w:val="21"/>
        </w:rPr>
        <w:t>%），其中不含税工程价款为:</w:t>
      </w:r>
      <w:r>
        <w:rPr>
          <w:rFonts w:hint="eastAsia" w:ascii="仿宋_GB2312" w:hAnsi="仿宋_GB2312" w:eastAsia="仿宋_GB2312" w:cs="仿宋_GB2312"/>
          <w:color w:val="auto"/>
          <w:kern w:val="0"/>
          <w:szCs w:val="21"/>
          <w:u w:val="none"/>
        </w:rPr>
        <w:t>(小写)</w:t>
      </w:r>
      <w:r>
        <w:rPr>
          <w:rFonts w:hint="eastAsia" w:ascii="仿宋_GB2312" w:hAnsi="仿宋_GB2312" w:eastAsia="仿宋_GB2312" w:cs="仿宋_GB2312"/>
          <w:color w:val="auto"/>
          <w:kern w:val="0"/>
          <w:szCs w:val="21"/>
          <w:u w:val="single"/>
        </w:rPr>
        <w:t xml:space="preserve">¥ </w:t>
      </w:r>
      <w:r>
        <w:rPr>
          <w:rFonts w:hint="eastAsia" w:ascii="仿宋_GB2312" w:hAnsi="仿宋_GB2312" w:eastAsia="仿宋_GB2312" w:cs="仿宋_GB2312"/>
          <w:color w:val="auto"/>
          <w:kern w:val="0"/>
          <w:szCs w:val="21"/>
          <w:u w:val="single"/>
          <w:lang w:val="en-US" w:eastAsia="zh-CN"/>
        </w:rPr>
        <w:t>935453.09</w:t>
      </w:r>
      <w:r>
        <w:rPr>
          <w:rFonts w:hint="eastAsia" w:ascii="仿宋_GB2312" w:hAnsi="仿宋_GB2312" w:eastAsia="仿宋_GB2312" w:cs="仿宋_GB2312"/>
          <w:color w:val="auto"/>
          <w:kern w:val="0"/>
          <w:szCs w:val="21"/>
          <w:u w:val="single"/>
        </w:rPr>
        <w:t xml:space="preserve">    </w:t>
      </w:r>
      <w:r>
        <w:rPr>
          <w:rFonts w:hint="eastAsia" w:ascii="仿宋_GB2312" w:hAnsi="仿宋_GB2312" w:eastAsia="仿宋_GB2312" w:cs="仿宋_GB2312"/>
          <w:color w:val="auto"/>
          <w:kern w:val="0"/>
          <w:szCs w:val="21"/>
        </w:rPr>
        <w:t>元，</w:t>
      </w:r>
      <w:r>
        <w:rPr>
          <w:rFonts w:hint="eastAsia" w:ascii="仿宋_GB2312" w:hAnsi="仿宋_GB2312" w:eastAsia="仿宋_GB2312" w:cs="仿宋_GB2312"/>
          <w:color w:val="auto"/>
          <w:kern w:val="0"/>
          <w:szCs w:val="21"/>
          <w:u w:val="none"/>
        </w:rPr>
        <w:t>(大写)</w:t>
      </w:r>
      <w:r>
        <w:rPr>
          <w:rFonts w:hint="eastAsia" w:ascii="仿宋_GB2312" w:hAnsi="仿宋_GB2312" w:eastAsia="仿宋_GB2312" w:cs="仿宋_GB2312"/>
          <w:color w:val="auto"/>
          <w:kern w:val="0"/>
          <w:szCs w:val="21"/>
          <w:u w:val="single"/>
        </w:rPr>
        <w:t xml:space="preserve"> </w:t>
      </w:r>
      <w:r>
        <w:rPr>
          <w:rFonts w:hint="eastAsia" w:ascii="仿宋_GB2312" w:hAnsi="仿宋_GB2312" w:eastAsia="仿宋_GB2312" w:cs="仿宋_GB2312"/>
          <w:color w:val="auto"/>
          <w:kern w:val="0"/>
          <w:szCs w:val="21"/>
          <w:u w:val="single"/>
          <w:lang w:val="en-US" w:eastAsia="zh-CN"/>
        </w:rPr>
        <w:t>玖拾叁万伍仟肆佰伍拾叁元零玖分</w:t>
      </w:r>
      <w:r>
        <w:rPr>
          <w:rFonts w:hint="eastAsia" w:ascii="仿宋_GB2312" w:hAnsi="仿宋_GB2312" w:eastAsia="仿宋_GB2312" w:cs="仿宋_GB2312"/>
          <w:color w:val="auto"/>
          <w:kern w:val="0"/>
          <w:szCs w:val="21"/>
          <w:u w:val="single"/>
        </w:rPr>
        <w:t xml:space="preserve">  </w:t>
      </w:r>
      <w:r>
        <w:rPr>
          <w:rFonts w:hint="eastAsia" w:ascii="仿宋_GB2312" w:hAnsi="仿宋_GB2312" w:eastAsia="仿宋_GB2312" w:cs="仿宋_GB2312"/>
          <w:color w:val="auto"/>
          <w:kern w:val="0"/>
          <w:szCs w:val="21"/>
          <w:u w:val="none"/>
        </w:rPr>
        <w:t>;</w:t>
      </w:r>
      <w:r>
        <w:rPr>
          <w:rFonts w:hint="eastAsia" w:ascii="仿宋_GB2312" w:hAnsi="仿宋_GB2312" w:eastAsia="仿宋_GB2312" w:cs="仿宋_GB2312"/>
          <w:color w:val="auto"/>
          <w:kern w:val="0"/>
          <w:szCs w:val="21"/>
        </w:rPr>
        <w:t>税金:(小写)</w:t>
      </w:r>
      <w:r>
        <w:rPr>
          <w:rFonts w:hint="eastAsia" w:ascii="仿宋_GB2312" w:hAnsi="仿宋_GB2312" w:eastAsia="仿宋_GB2312" w:cs="仿宋_GB2312"/>
          <w:color w:val="auto"/>
          <w:kern w:val="0"/>
          <w:szCs w:val="21"/>
          <w:u w:val="single"/>
        </w:rPr>
        <w:t xml:space="preserve">¥  </w:t>
      </w:r>
      <w:r>
        <w:rPr>
          <w:rFonts w:hint="eastAsia" w:ascii="仿宋_GB2312" w:hAnsi="仿宋_GB2312" w:eastAsia="仿宋_GB2312" w:cs="仿宋_GB2312"/>
          <w:color w:val="auto"/>
          <w:kern w:val="0"/>
          <w:szCs w:val="21"/>
          <w:u w:val="single"/>
          <w:lang w:val="en-US" w:eastAsia="zh-CN"/>
        </w:rPr>
        <w:t>84190.78</w:t>
      </w:r>
      <w:r>
        <w:rPr>
          <w:rFonts w:hint="eastAsia" w:ascii="仿宋_GB2312" w:hAnsi="仿宋_GB2312" w:eastAsia="仿宋_GB2312" w:cs="仿宋_GB2312"/>
          <w:color w:val="auto"/>
          <w:kern w:val="0"/>
          <w:szCs w:val="21"/>
          <w:u w:val="single"/>
        </w:rPr>
        <w:t xml:space="preserve">   </w:t>
      </w:r>
      <w:r>
        <w:rPr>
          <w:rFonts w:hint="eastAsia" w:ascii="仿宋_GB2312" w:hAnsi="仿宋_GB2312" w:eastAsia="仿宋_GB2312" w:cs="仿宋_GB2312"/>
          <w:color w:val="auto"/>
          <w:kern w:val="0"/>
          <w:szCs w:val="21"/>
        </w:rPr>
        <w:t>元，</w:t>
      </w:r>
      <w:r>
        <w:rPr>
          <w:rFonts w:hint="eastAsia" w:ascii="仿宋_GB2312" w:hAnsi="仿宋_GB2312" w:eastAsia="仿宋_GB2312" w:cs="仿宋_GB2312"/>
          <w:color w:val="auto"/>
          <w:kern w:val="0"/>
          <w:szCs w:val="21"/>
          <w:u w:val="single"/>
        </w:rPr>
        <w:t xml:space="preserve">(大写)  </w:t>
      </w:r>
      <w:r>
        <w:rPr>
          <w:rFonts w:hint="eastAsia" w:ascii="仿宋_GB2312" w:hAnsi="仿宋_GB2312" w:eastAsia="仿宋_GB2312" w:cs="仿宋_GB2312"/>
          <w:color w:val="auto"/>
          <w:kern w:val="0"/>
          <w:szCs w:val="21"/>
          <w:u w:val="single"/>
          <w:lang w:val="en-US" w:eastAsia="zh-CN"/>
        </w:rPr>
        <w:t>捌万肆仟壹佰玖拾元柒角捌分</w:t>
      </w:r>
      <w:r>
        <w:rPr>
          <w:rFonts w:hint="eastAsia" w:ascii="仿宋_GB2312" w:hAnsi="仿宋_GB2312" w:eastAsia="仿宋_GB2312" w:cs="仿宋_GB2312"/>
          <w:color w:val="auto"/>
          <w:kern w:val="0"/>
          <w:szCs w:val="21"/>
          <w:u w:val="single"/>
        </w:rPr>
        <w:t xml:space="preserve">   </w:t>
      </w:r>
      <w:r>
        <w:rPr>
          <w:rFonts w:hint="eastAsia" w:ascii="仿宋_GB2312" w:hAnsi="仿宋_GB2312" w:eastAsia="仿宋_GB2312" w:cs="仿宋_GB2312"/>
          <w:color w:val="auto"/>
          <w:kern w:val="0"/>
          <w:szCs w:val="21"/>
        </w:rPr>
        <w:t>。（投标人报价不得高于采购限价）</w:t>
      </w:r>
    </w:p>
    <w:p w14:paraId="7244EA90">
      <w:pPr>
        <w:widowControl/>
        <w:tabs>
          <w:tab w:val="left" w:pos="361"/>
        </w:tabs>
        <w:snapToGrid w:val="0"/>
        <w:spacing w:line="360" w:lineRule="auto"/>
        <w:ind w:firstLine="367" w:firstLineChars="175"/>
        <w:rPr>
          <w:rFonts w:hint="eastAsia" w:ascii="仿宋_GB2312" w:hAnsi="仿宋_GB2312" w:eastAsia="仿宋_GB2312" w:cs="仿宋_GB2312"/>
          <w:color w:val="auto"/>
          <w:kern w:val="0"/>
          <w:szCs w:val="21"/>
        </w:rPr>
      </w:pPr>
      <w:r>
        <w:rPr>
          <w:rFonts w:hint="eastAsia" w:ascii="仿宋_GB2312" w:hAnsi="仿宋_GB2312" w:eastAsia="仿宋_GB2312" w:cs="仿宋_GB2312"/>
          <w:color w:val="auto"/>
          <w:kern w:val="0"/>
          <w:szCs w:val="21"/>
        </w:rPr>
        <w:t>五、工程概况：</w:t>
      </w:r>
      <w:r>
        <w:rPr>
          <w:rFonts w:hint="eastAsia" w:ascii="仿宋_GB2312" w:hAnsi="仿宋_GB2312" w:eastAsia="仿宋_GB2312" w:cs="仿宋_GB2312"/>
          <w:color w:val="auto"/>
          <w:kern w:val="0"/>
          <w:szCs w:val="21"/>
          <w:u w:val="none"/>
        </w:rPr>
        <w:t xml:space="preserve">  </w:t>
      </w:r>
      <w:r>
        <w:rPr>
          <w:rFonts w:hint="eastAsia" w:ascii="仿宋_GB2312" w:hAnsi="仿宋_GB2312" w:eastAsia="仿宋_GB2312" w:cs="仿宋_GB2312"/>
          <w:i w:val="0"/>
          <w:iCs w:val="0"/>
          <w:caps w:val="0"/>
          <w:color w:val="auto"/>
          <w:spacing w:val="0"/>
          <w:kern w:val="0"/>
          <w:sz w:val="21"/>
          <w:szCs w:val="21"/>
          <w:shd w:val="clear" w:color="auto" w:fill="auto"/>
        </w:rPr>
        <w:t>本项目为历史文化街区改造项目，改造范围包含沿江路、巡查巷、太平路、中山路、红棉路、和平路、沿江东路一巷，其中沿江路总长约892.3米，巡查巷总长约130米，太平路总长约426米，中山路总长约1247.9米，红棉路与和平路总长约438.5米，沿江东路一巷长约80米；给水最大管径为DN400，污水最大管径为DN600，雨水箱涵最大尺寸为2.5mx1.5m，通信最大管径为DN110，电力最大管径为DN160；两座停车场面积共约8711.78平方米；新建4栋配电房，建筑面积合计约540.79平方米，层数最大为2层，高度最高为9.75米。</w:t>
      </w:r>
    </w:p>
    <w:p w14:paraId="4BBE05D6">
      <w:pPr>
        <w:widowControl/>
        <w:snapToGrid w:val="0"/>
        <w:spacing w:line="360" w:lineRule="auto"/>
        <w:ind w:firstLine="367" w:firstLineChars="175"/>
        <w:rPr>
          <w:rFonts w:hint="eastAsia" w:ascii="仿宋_GB2312" w:hAnsi="仿宋_GB2312" w:eastAsia="仿宋_GB2312" w:cs="仿宋_GB2312"/>
          <w:color w:val="auto"/>
          <w:kern w:val="0"/>
          <w:szCs w:val="21"/>
          <w:u w:val="none"/>
        </w:rPr>
      </w:pPr>
      <w:r>
        <w:rPr>
          <w:rFonts w:hint="eastAsia" w:ascii="仿宋_GB2312" w:hAnsi="仿宋_GB2312" w:eastAsia="仿宋_GB2312" w:cs="仿宋_GB2312"/>
          <w:color w:val="auto"/>
          <w:kern w:val="0"/>
          <w:szCs w:val="21"/>
        </w:rPr>
        <w:t>六、工程范围：</w:t>
      </w:r>
      <w:r>
        <w:rPr>
          <w:rFonts w:hint="eastAsia" w:ascii="仿宋_GB2312" w:hAnsi="仿宋_GB2312" w:eastAsia="仿宋_GB2312" w:cs="仿宋_GB2312"/>
          <w:color w:val="auto"/>
          <w:kern w:val="0"/>
          <w:szCs w:val="21"/>
          <w:u w:val="none"/>
        </w:rPr>
        <w:t xml:space="preserve">  </w:t>
      </w:r>
      <w:r>
        <w:rPr>
          <w:rFonts w:hint="eastAsia" w:ascii="仿宋_GB2312" w:hAnsi="仿宋_GB2312" w:eastAsia="仿宋_GB2312" w:cs="仿宋_GB2312"/>
          <w:i w:val="0"/>
          <w:iCs w:val="0"/>
          <w:caps w:val="0"/>
          <w:color w:val="auto"/>
          <w:spacing w:val="0"/>
          <w:kern w:val="0"/>
          <w:sz w:val="21"/>
          <w:szCs w:val="21"/>
          <w:shd w:val="clear" w:color="auto" w:fill="auto"/>
        </w:rPr>
        <w:t>本工程综合劳务</w:t>
      </w:r>
      <w:r>
        <w:rPr>
          <w:rFonts w:hint="eastAsia" w:ascii="仿宋_GB2312" w:hAnsi="仿宋_GB2312" w:eastAsia="仿宋_GB2312" w:cs="仿宋_GB2312"/>
          <w:i w:val="0"/>
          <w:iCs w:val="0"/>
          <w:caps w:val="0"/>
          <w:color w:val="auto"/>
          <w:spacing w:val="0"/>
          <w:kern w:val="0"/>
          <w:sz w:val="21"/>
          <w:szCs w:val="21"/>
          <w:shd w:val="clear" w:color="auto" w:fill="auto"/>
          <w:lang w:eastAsia="zh-CN"/>
        </w:rPr>
        <w:t>（</w:t>
      </w:r>
      <w:r>
        <w:rPr>
          <w:rFonts w:hint="eastAsia" w:ascii="仿宋_GB2312" w:hAnsi="仿宋_GB2312" w:eastAsia="仿宋_GB2312" w:cs="仿宋_GB2312"/>
          <w:i w:val="0"/>
          <w:iCs w:val="0"/>
          <w:caps w:val="0"/>
          <w:color w:val="auto"/>
          <w:spacing w:val="0"/>
          <w:kern w:val="0"/>
          <w:sz w:val="21"/>
          <w:szCs w:val="21"/>
          <w:shd w:val="clear" w:color="auto" w:fill="auto"/>
          <w:lang w:val="en-US" w:eastAsia="zh-CN"/>
        </w:rPr>
        <w:t>二）</w:t>
      </w:r>
      <w:r>
        <w:rPr>
          <w:rFonts w:hint="eastAsia" w:ascii="仿宋_GB2312" w:hAnsi="仿宋_GB2312" w:eastAsia="仿宋_GB2312" w:cs="仿宋_GB2312"/>
          <w:i w:val="0"/>
          <w:iCs w:val="0"/>
          <w:caps w:val="0"/>
          <w:color w:val="auto"/>
          <w:spacing w:val="0"/>
          <w:kern w:val="0"/>
          <w:sz w:val="21"/>
          <w:szCs w:val="21"/>
          <w:shd w:val="clear" w:color="auto" w:fill="auto"/>
        </w:rPr>
        <w:t>承包内容主要包括：临时停车场的混凝土基层、钢筋网、道闸、监控、标线等施工；H8拆除区域的混凝土及砖砌体拆除、余方弃置、脚手架搭拆；结构加固的凿毛、砌筑、抹灰、钢筋及植筋；H8通道的挡墙拆除、防撞设施、门窗拆装、及标牌安装；以及槽钢支护的打拔作业。混凝土、钢筋、型钢等主材由甲方供应</w:t>
      </w:r>
      <w:r>
        <w:rPr>
          <w:rFonts w:hint="eastAsia" w:ascii="仿宋_GB2312" w:hAnsi="仿宋_GB2312" w:eastAsia="仿宋_GB2312" w:cs="仿宋_GB2312"/>
          <w:i w:val="0"/>
          <w:iCs w:val="0"/>
          <w:caps w:val="0"/>
          <w:color w:val="auto"/>
          <w:spacing w:val="0"/>
          <w:kern w:val="0"/>
          <w:sz w:val="21"/>
          <w:szCs w:val="21"/>
          <w:shd w:val="clear" w:color="auto" w:fill="auto"/>
          <w:lang w:eastAsia="zh-CN"/>
        </w:rPr>
        <w:t>，</w:t>
      </w:r>
      <w:r>
        <w:rPr>
          <w:rFonts w:hint="eastAsia" w:ascii="仿宋_GB2312" w:hAnsi="仿宋_GB2312" w:eastAsia="仿宋_GB2312" w:cs="仿宋_GB2312"/>
          <w:i w:val="0"/>
          <w:iCs w:val="0"/>
          <w:caps w:val="0"/>
          <w:color w:val="auto"/>
          <w:spacing w:val="0"/>
          <w:kern w:val="0"/>
          <w:sz w:val="21"/>
          <w:szCs w:val="21"/>
          <w:shd w:val="clear" w:color="auto" w:fill="auto"/>
          <w:lang w:val="en-US" w:eastAsia="zh-CN"/>
        </w:rPr>
        <w:t>详见施工图纸及工程量清单。</w:t>
      </w:r>
      <w:r>
        <w:rPr>
          <w:rFonts w:hint="eastAsia" w:ascii="仿宋_GB2312" w:hAnsi="仿宋_GB2312" w:eastAsia="仿宋_GB2312" w:cs="仿宋_GB2312"/>
          <w:color w:val="auto"/>
          <w:kern w:val="0"/>
          <w:szCs w:val="21"/>
          <w:u w:val="none"/>
        </w:rPr>
        <w:t xml:space="preserve">                          。</w:t>
      </w:r>
    </w:p>
    <w:p w14:paraId="09AB1381">
      <w:pPr>
        <w:widowControl/>
        <w:snapToGrid w:val="0"/>
        <w:spacing w:line="360" w:lineRule="auto"/>
        <w:ind w:firstLine="367" w:firstLineChars="175"/>
        <w:rPr>
          <w:rFonts w:hint="eastAsia" w:ascii="仿宋_GB2312" w:hAnsi="仿宋_GB2312" w:eastAsia="仿宋_GB2312" w:cs="仿宋_GB2312"/>
          <w:color w:val="auto"/>
          <w:kern w:val="0"/>
          <w:szCs w:val="21"/>
        </w:rPr>
      </w:pPr>
      <w:r>
        <w:rPr>
          <w:rFonts w:hint="eastAsia" w:ascii="仿宋_GB2312" w:hAnsi="仿宋_GB2312" w:eastAsia="仿宋_GB2312" w:cs="仿宋_GB2312"/>
          <w:color w:val="auto"/>
          <w:kern w:val="0"/>
          <w:szCs w:val="21"/>
        </w:rPr>
        <w:t>七、承包方式：</w:t>
      </w:r>
    </w:p>
    <w:p w14:paraId="4301D1ED">
      <w:pPr>
        <w:widowControl/>
        <w:snapToGrid w:val="0"/>
        <w:spacing w:line="360" w:lineRule="auto"/>
        <w:ind w:firstLine="367" w:firstLineChars="175"/>
        <w:rPr>
          <w:rFonts w:hint="eastAsia" w:ascii="仿宋_GB2312" w:hAnsi="仿宋_GB2312" w:eastAsia="仿宋_GB2312" w:cs="仿宋_GB2312"/>
          <w:color w:val="auto"/>
          <w:kern w:val="0"/>
          <w:szCs w:val="21"/>
        </w:rPr>
      </w:pPr>
      <w:r>
        <w:rPr>
          <w:rFonts w:hint="eastAsia" w:ascii="仿宋_GB2312" w:hAnsi="仿宋_GB2312" w:eastAsia="仿宋_GB2312" w:cs="仿宋_GB2312"/>
          <w:color w:val="auto"/>
          <w:kern w:val="0"/>
          <w:szCs w:val="21"/>
        </w:rPr>
        <w:t>1、</w:t>
      </w:r>
      <w:r>
        <w:rPr>
          <w:rFonts w:hint="eastAsia" w:ascii="仿宋_GB2312" w:hAnsi="仿宋_GB2312" w:eastAsia="仿宋_GB2312" w:cs="仿宋_GB2312"/>
          <w:color w:val="auto"/>
          <w:kern w:val="0"/>
          <w:sz w:val="21"/>
          <w:szCs w:val="21"/>
          <w:lang w:val="en-US" w:eastAsia="zh-CN"/>
        </w:rPr>
        <w:t>本工程固定综合单价是采购文件所确定的采购范围内的全部工作内容的价格体现。包括不限于施工设备（甲方提供除外）、劳务、管理、材料、安装、维护、利润、税金及政策性文件规定的各项应有费用及采购文件明示或暗示的所有一切风险、责任和义务的费用。</w:t>
      </w:r>
    </w:p>
    <w:p w14:paraId="74A07FB8">
      <w:pPr>
        <w:widowControl/>
        <w:snapToGrid w:val="0"/>
        <w:spacing w:line="360" w:lineRule="auto"/>
        <w:ind w:firstLine="367" w:firstLineChars="175"/>
        <w:rPr>
          <w:rFonts w:hint="eastAsia" w:ascii="仿宋_GB2312" w:hAnsi="仿宋_GB2312" w:eastAsia="仿宋_GB2312" w:cs="仿宋_GB2312"/>
          <w:kern w:val="0"/>
          <w:szCs w:val="21"/>
          <w:u w:val="single"/>
        </w:rPr>
      </w:pPr>
      <w:r>
        <w:rPr>
          <w:rFonts w:hint="eastAsia" w:ascii="仿宋_GB2312" w:hAnsi="仿宋_GB2312" w:eastAsia="仿宋_GB2312" w:cs="仿宋_GB2312"/>
          <w:kern w:val="0"/>
          <w:szCs w:val="21"/>
        </w:rPr>
        <w:t>2、甲供材：</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混凝土、</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钢筋、砂</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eastAsia="zh-CN"/>
        </w:rPr>
        <w:t>、</w:t>
      </w:r>
      <w:r>
        <w:rPr>
          <w:rFonts w:hint="eastAsia" w:ascii="仿宋_GB2312" w:hAnsi="仿宋_GB2312" w:eastAsia="仿宋_GB2312" w:cs="仿宋_GB2312"/>
          <w:kern w:val="0"/>
          <w:szCs w:val="21"/>
          <w:u w:val="single"/>
          <w:lang w:val="en-US" w:eastAsia="zh-CN"/>
        </w:rPr>
        <w:t>型钢等，详见清单备注。</w:t>
      </w:r>
    </w:p>
    <w:p w14:paraId="5007A312">
      <w:pPr>
        <w:widowControl/>
        <w:snapToGrid w:val="0"/>
        <w:spacing w:line="360" w:lineRule="auto"/>
        <w:ind w:firstLine="367" w:firstLineChars="175"/>
        <w:rPr>
          <w:rFonts w:hint="eastAsia" w:ascii="仿宋_GB2312" w:hAnsi="仿宋_GB2312" w:eastAsia="仿宋_GB2312" w:cs="仿宋_GB2312"/>
          <w:strike w:val="0"/>
          <w:dstrike w:val="0"/>
          <w:kern w:val="0"/>
          <w:szCs w:val="21"/>
        </w:rPr>
      </w:pPr>
      <w:r>
        <w:rPr>
          <w:rFonts w:hint="eastAsia" w:ascii="仿宋_GB2312" w:hAnsi="仿宋_GB2312" w:eastAsia="仿宋_GB2312" w:cs="仿宋_GB2312"/>
          <w:kern w:val="0"/>
          <w:szCs w:val="21"/>
        </w:rPr>
        <w:t>八、工期：</w:t>
      </w:r>
      <w:r>
        <w:rPr>
          <w:rFonts w:hint="eastAsia" w:ascii="仿宋_GB2312" w:hAnsi="仿宋_GB2312" w:eastAsia="仿宋_GB2312" w:cs="仿宋_GB2312"/>
          <w:kern w:val="0"/>
          <w:szCs w:val="21"/>
          <w:lang w:val="en-US" w:eastAsia="zh-CN"/>
        </w:rPr>
        <w:t>计划2026年07月12日进场至2026年10月20日完工，工期107日，乙方无条件配合甲方施工进度需求。</w:t>
      </w:r>
      <w:r>
        <w:rPr>
          <w:rFonts w:hint="eastAsia" w:ascii="仿宋_GB2312" w:hAnsi="仿宋_GB2312" w:eastAsia="仿宋_GB2312" w:cs="仿宋_GB2312"/>
          <w:strike w:val="0"/>
          <w:dstrike w:val="0"/>
          <w:color w:val="FF0000"/>
          <w:kern w:val="0"/>
          <w:szCs w:val="21"/>
          <w:lang w:val="en-US" w:eastAsia="zh-CN"/>
        </w:rPr>
        <w:t>中标后3天内进场与项目部联合编制进度计划及关键节点，并以双方签字确认的进度计划作为施工工期要求。</w:t>
      </w:r>
    </w:p>
    <w:p w14:paraId="757C65CF">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九、投标文件的递交时间及开标地点：以密封形式于</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2026</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06</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19</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时</w:t>
      </w:r>
      <w:r>
        <w:rPr>
          <w:rFonts w:hint="eastAsia" w:ascii="仿宋_GB2312" w:hAnsi="仿宋_GB2312" w:eastAsia="仿宋_GB2312" w:cs="仿宋_GB2312"/>
          <w:kern w:val="0"/>
          <w:szCs w:val="21"/>
          <w:lang w:val="en-US" w:eastAsia="zh-CN"/>
        </w:rPr>
        <w:t>00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分前递交，截止时间为</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2026</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06</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19</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时</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分，所有应答文件必须在规定的应答截止时间前按规定地址送达采购人，逾期恕不接受。</w:t>
      </w:r>
    </w:p>
    <w:p w14:paraId="6F0987F5">
      <w:pPr>
        <w:widowControl/>
        <w:snapToGrid w:val="0"/>
        <w:spacing w:line="360" w:lineRule="auto"/>
        <w:ind w:firstLine="630" w:firstLineChars="3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开标地址：东莞市南城街道城市风景街8栋</w:t>
      </w:r>
      <w:r>
        <w:rPr>
          <w:rFonts w:hint="eastAsia" w:ascii="仿宋_GB2312" w:hAnsi="仿宋_GB2312" w:eastAsia="仿宋_GB2312" w:cs="仿宋_GB2312"/>
          <w:kern w:val="0"/>
          <w:szCs w:val="21"/>
          <w:lang w:val="en-US" w:eastAsia="zh-CN"/>
        </w:rPr>
        <w:t>4楼</w:t>
      </w:r>
      <w:r>
        <w:rPr>
          <w:rFonts w:hint="eastAsia" w:ascii="仿宋_GB2312" w:hAnsi="仿宋_GB2312" w:eastAsia="仿宋_GB2312" w:cs="仿宋_GB2312"/>
          <w:kern w:val="0"/>
          <w:szCs w:val="21"/>
        </w:rPr>
        <w:t>城工集团开标室。</w:t>
      </w:r>
    </w:p>
    <w:p w14:paraId="3423958E">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十、注意事项：</w:t>
      </w:r>
    </w:p>
    <w:p w14:paraId="6AC5DBEB">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1、投标人必须全面响应采购文件要求，投标人任何附加条件采购人一律不接受或视为废标。</w:t>
      </w:r>
    </w:p>
    <w:p w14:paraId="10383D02">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2、中标人严禁有挂靠或者违法转包行为。</w:t>
      </w:r>
    </w:p>
    <w:p w14:paraId="060905EB">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3、投标文件严禁出现不平衡报价。</w:t>
      </w:r>
    </w:p>
    <w:p w14:paraId="49514D56">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4、质量要求：现行的施工规范要求</w:t>
      </w:r>
      <w:r>
        <w:rPr>
          <w:rFonts w:hint="eastAsia" w:ascii="仿宋_GB2312" w:hAnsi="仿宋_GB2312" w:eastAsia="仿宋_GB2312" w:cs="仿宋_GB2312"/>
          <w:color w:val="FF0000"/>
          <w:kern w:val="0"/>
          <w:szCs w:val="21"/>
        </w:rPr>
        <w:t>及用户需求书列明的质量管控要求</w:t>
      </w:r>
      <w:r>
        <w:rPr>
          <w:rFonts w:hint="eastAsia" w:ascii="仿宋_GB2312" w:hAnsi="仿宋_GB2312" w:eastAsia="仿宋_GB2312" w:cs="仿宋_GB2312"/>
          <w:kern w:val="0"/>
          <w:szCs w:val="21"/>
        </w:rPr>
        <w:t>。</w:t>
      </w:r>
    </w:p>
    <w:p w14:paraId="4B35BFAA">
      <w:pPr>
        <w:widowControl/>
        <w:snapToGrid w:val="0"/>
        <w:spacing w:line="360" w:lineRule="auto"/>
        <w:ind w:firstLine="367" w:firstLineChars="175"/>
        <w:rPr>
          <w:rFonts w:hint="default" w:ascii="仿宋_GB2312" w:hAnsi="仿宋_GB2312" w:eastAsia="仿宋_GB2312" w:cs="仿宋_GB2312"/>
          <w:b/>
          <w:bCs/>
          <w:color w:val="FF0000"/>
          <w:kern w:val="0"/>
          <w:szCs w:val="21"/>
          <w:lang w:val="en-US" w:eastAsia="zh-CN"/>
        </w:rPr>
      </w:pPr>
      <w:r>
        <w:rPr>
          <w:rFonts w:hint="eastAsia" w:ascii="仿宋_GB2312" w:hAnsi="仿宋_GB2312" w:eastAsia="仿宋_GB2312" w:cs="仿宋_GB2312"/>
          <w:b w:val="0"/>
          <w:bCs w:val="0"/>
          <w:color w:val="FF0000"/>
          <w:kern w:val="0"/>
          <w:szCs w:val="21"/>
        </w:rPr>
        <w:t>5、</w:t>
      </w:r>
      <w:r>
        <w:rPr>
          <w:rFonts w:hint="eastAsia" w:ascii="仿宋_GB2312" w:hAnsi="仿宋_GB2312" w:eastAsia="仿宋_GB2312" w:cs="仿宋_GB2312"/>
          <w:b w:val="0"/>
          <w:bCs w:val="0"/>
          <w:color w:val="FF0000"/>
          <w:kern w:val="0"/>
          <w:szCs w:val="21"/>
          <w:lang w:val="en-US" w:eastAsia="zh-CN"/>
        </w:rPr>
        <w:t>本工程要求开具工人工资支付保函：</w:t>
      </w:r>
      <w:r>
        <w:rPr>
          <w:rFonts w:hint="eastAsia" w:ascii="仿宋_GB2312" w:hAnsi="仿宋_GB2312" w:eastAsia="仿宋_GB2312" w:cs="仿宋_GB2312"/>
          <w:color w:val="FF0000"/>
          <w:kern w:val="0"/>
          <w:szCs w:val="21"/>
          <w:lang w:val="en-US" w:eastAsia="zh-CN"/>
        </w:rPr>
        <w:t>需要提供合同总额10%的工人工资支付保函。</w:t>
      </w:r>
    </w:p>
    <w:p w14:paraId="4FD6F9C5">
      <w:pPr>
        <w:widowControl/>
        <w:snapToGrid w:val="0"/>
        <w:spacing w:line="360" w:lineRule="auto"/>
        <w:ind w:firstLine="367" w:firstLineChars="175"/>
        <w:rPr>
          <w:rFonts w:hint="default" w:ascii="仿宋_GB2312" w:hAnsi="仿宋_GB2312" w:eastAsia="仿宋_GB2312" w:cs="仿宋_GB2312"/>
          <w:color w:val="FF0000"/>
          <w:kern w:val="0"/>
          <w:szCs w:val="21"/>
          <w:lang w:val="en-US" w:eastAsia="zh-CN"/>
        </w:rPr>
      </w:pPr>
      <w:r>
        <w:rPr>
          <w:rFonts w:hint="eastAsia" w:ascii="仿宋_GB2312" w:hAnsi="仿宋_GB2312" w:eastAsia="仿宋_GB2312" w:cs="仿宋_GB2312"/>
          <w:color w:val="FF0000"/>
          <w:kern w:val="0"/>
          <w:szCs w:val="21"/>
          <w:lang w:val="en-US" w:eastAsia="zh-CN"/>
        </w:rPr>
        <w:t>6、本项目履约保证金：</w:t>
      </w:r>
      <w:r>
        <w:rPr>
          <w:rFonts w:hint="eastAsia" w:ascii="仿宋_GB2312" w:hAnsi="仿宋_GB2312" w:eastAsia="仿宋_GB2312" w:cs="仿宋_GB2312"/>
          <w:b/>
          <w:bCs/>
          <w:color w:val="FF0000"/>
          <w:kern w:val="0"/>
          <w:szCs w:val="21"/>
          <w:lang w:val="en-US" w:eastAsia="zh-CN"/>
        </w:rPr>
        <w:t>设立</w:t>
      </w:r>
      <w:r>
        <w:rPr>
          <w:rFonts w:hint="eastAsia" w:ascii="仿宋_GB2312" w:hAnsi="仿宋_GB2312" w:eastAsia="仿宋_GB2312" w:cs="仿宋_GB2312"/>
          <w:color w:val="FF0000"/>
          <w:kern w:val="0"/>
          <w:szCs w:val="21"/>
          <w:lang w:val="en-US" w:eastAsia="zh-CN"/>
        </w:rPr>
        <w:t>（详见合同条款约定第十一条）</w:t>
      </w:r>
    </w:p>
    <w:p w14:paraId="6EA86F8E">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十一、采购文件获取：城工集团</w:t>
      </w:r>
      <w:r>
        <w:rPr>
          <w:rFonts w:hint="eastAsia" w:ascii="仿宋_GB2312" w:hAnsi="仿宋_GB2312" w:eastAsia="仿宋_GB2312" w:cs="仿宋_GB2312"/>
          <w:szCs w:val="21"/>
        </w:rPr>
        <w:t>公司官网（http://www.dggcc.cn）</w:t>
      </w:r>
      <w:r>
        <w:rPr>
          <w:rFonts w:hint="eastAsia" w:ascii="仿宋_GB2312" w:hAnsi="仿宋_GB2312" w:eastAsia="仿宋_GB2312" w:cs="仿宋_GB2312"/>
          <w:kern w:val="0"/>
          <w:szCs w:val="21"/>
        </w:rPr>
        <w:t>。</w:t>
      </w:r>
    </w:p>
    <w:p w14:paraId="1AA8AB89">
      <w:pPr>
        <w:widowControl/>
        <w:snapToGrid w:val="0"/>
        <w:spacing w:line="360" w:lineRule="auto"/>
        <w:ind w:firstLine="367" w:firstLineChars="175"/>
        <w:rPr>
          <w:rFonts w:hint="eastAsia"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rPr>
        <w:t>十二、其他及特别内容说明：</w:t>
      </w:r>
      <w:r>
        <w:rPr>
          <w:rFonts w:hint="eastAsia" w:ascii="仿宋_GB2312" w:hAnsi="仿宋_GB2312" w:eastAsia="仿宋_GB2312" w:cs="仿宋_GB2312"/>
          <w:kern w:val="0"/>
          <w:szCs w:val="21"/>
          <w:lang w:val="en-US" w:eastAsia="zh-CN"/>
        </w:rPr>
        <w:t>无。</w:t>
      </w:r>
    </w:p>
    <w:p w14:paraId="6E095945">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 xml:space="preserve">十三、有关此次采购答疑事宜，按下列地址以书面或电话形式向采购人查询：  </w:t>
      </w:r>
    </w:p>
    <w:p w14:paraId="422B07AF">
      <w:pPr>
        <w:widowControl/>
        <w:snapToGrid w:val="0"/>
        <w:spacing w:line="360" w:lineRule="auto"/>
        <w:ind w:firstLine="840" w:firstLineChars="400"/>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rPr>
        <w:t>采购人：</w:t>
      </w:r>
      <w:r>
        <w:rPr>
          <w:rFonts w:hint="eastAsia" w:ascii="仿宋_GB2312" w:hAnsi="仿宋_GB2312" w:eastAsia="仿宋_GB2312" w:cs="仿宋_GB2312"/>
          <w:kern w:val="0"/>
          <w:szCs w:val="21"/>
          <w:lang w:eastAsia="zh-CN"/>
        </w:rPr>
        <w:t>东莞城工集团市政工程有限公司</w:t>
      </w:r>
    </w:p>
    <w:p w14:paraId="70980254">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地址：东莞市南城区城市风景街8栋城工集团</w:t>
      </w:r>
      <w:r>
        <w:rPr>
          <w:rFonts w:hint="eastAsia" w:ascii="仿宋_GB2312" w:hAnsi="仿宋_GB2312" w:eastAsia="仿宋_GB2312" w:cs="仿宋_GB2312"/>
          <w:kern w:val="0"/>
          <w:szCs w:val="21"/>
          <w:lang w:val="en-US" w:eastAsia="zh-CN"/>
        </w:rPr>
        <w:t>7</w:t>
      </w:r>
      <w:r>
        <w:rPr>
          <w:rFonts w:hint="eastAsia" w:ascii="仿宋_GB2312" w:hAnsi="仿宋_GB2312" w:eastAsia="仿宋_GB2312" w:cs="仿宋_GB2312"/>
          <w:kern w:val="0"/>
          <w:szCs w:val="21"/>
        </w:rPr>
        <w:t>层。</w:t>
      </w:r>
    </w:p>
    <w:p w14:paraId="1372C991">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联系人：</w:t>
      </w:r>
      <w:r>
        <w:rPr>
          <w:rFonts w:hint="eastAsia" w:ascii="仿宋_GB2312" w:hAnsi="仿宋_GB2312" w:eastAsia="仿宋_GB2312" w:cs="仿宋_GB2312"/>
          <w:kern w:val="0"/>
          <w:szCs w:val="21"/>
          <w:lang w:val="en-US" w:eastAsia="zh-CN"/>
        </w:rPr>
        <w:t>黄</w:t>
      </w:r>
      <w:r>
        <w:rPr>
          <w:rFonts w:hint="eastAsia" w:ascii="仿宋_GB2312" w:hAnsi="仿宋_GB2312" w:eastAsia="仿宋_GB2312" w:cs="仿宋_GB2312"/>
          <w:kern w:val="0"/>
          <w:szCs w:val="21"/>
        </w:rPr>
        <w:t>工                   邮政编码：523000</w:t>
      </w:r>
    </w:p>
    <w:p w14:paraId="52F67F71">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联系方式：</w:t>
      </w:r>
      <w:r>
        <w:rPr>
          <w:rFonts w:hint="eastAsia" w:ascii="仿宋_GB2312" w:hAnsi="仿宋_GB2312" w:eastAsia="仿宋_GB2312" w:cs="仿宋_GB2312"/>
          <w:kern w:val="0"/>
          <w:szCs w:val="21"/>
          <w:lang w:val="en-US" w:eastAsia="zh-CN"/>
        </w:rPr>
        <w:t>15017133726</w:t>
      </w:r>
      <w:r>
        <w:rPr>
          <w:rFonts w:hint="eastAsia" w:ascii="仿宋_GB2312" w:hAnsi="仿宋_GB2312" w:eastAsia="仿宋_GB2312" w:cs="仿宋_GB2312"/>
          <w:kern w:val="0"/>
          <w:szCs w:val="21"/>
        </w:rPr>
        <w:t xml:space="preserve">           传真：0769-39009090</w:t>
      </w:r>
    </w:p>
    <w:p w14:paraId="0EB9A563">
      <w:pPr>
        <w:widowControl/>
        <w:snapToGrid w:val="0"/>
        <w:spacing w:line="480" w:lineRule="auto"/>
        <w:ind w:firstLine="640"/>
        <w:jc w:val="right"/>
        <w:rPr>
          <w:rFonts w:hint="eastAsia" w:ascii="仿宋_GB2312" w:hAnsi="仿宋_GB2312" w:eastAsia="仿宋_GB2312" w:cs="仿宋_GB2312"/>
          <w:kern w:val="0"/>
          <w:szCs w:val="21"/>
        </w:rPr>
      </w:pPr>
    </w:p>
    <w:p w14:paraId="2F35F2BF">
      <w:pPr>
        <w:widowControl/>
        <w:snapToGrid w:val="0"/>
        <w:spacing w:line="480" w:lineRule="auto"/>
        <w:ind w:firstLine="640"/>
        <w:jc w:val="right"/>
        <w:rPr>
          <w:rFonts w:hint="eastAsia" w:ascii="仿宋_GB2312" w:hAnsi="仿宋_GB2312" w:eastAsia="仿宋_GB2312" w:cs="仿宋_GB2312"/>
          <w:kern w:val="0"/>
          <w:szCs w:val="21"/>
        </w:rPr>
      </w:pPr>
    </w:p>
    <w:p w14:paraId="04B4B8DD">
      <w:pPr>
        <w:widowControl/>
        <w:snapToGrid w:val="0"/>
        <w:spacing w:line="480" w:lineRule="auto"/>
        <w:ind w:firstLine="640"/>
        <w:jc w:val="right"/>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lang w:eastAsia="zh-CN"/>
        </w:rPr>
        <w:t>东莞城工集团市政工程有限公司</w:t>
      </w:r>
    </w:p>
    <w:p w14:paraId="1D702F35">
      <w:pPr>
        <w:jc w:val="right"/>
      </w:pPr>
      <w:r>
        <w:rPr>
          <w:rFonts w:hint="eastAsia" w:ascii="仿宋_GB2312" w:hAnsi="仿宋_GB2312" w:eastAsia="仿宋_GB2312" w:cs="仿宋_GB2312"/>
          <w:kern w:val="0"/>
          <w:szCs w:val="21"/>
        </w:rPr>
        <w:t xml:space="preserve">    </w:t>
      </w:r>
      <w:r>
        <w:rPr>
          <w:rFonts w:hint="eastAsia" w:ascii="仿宋_GB2312" w:hAnsi="仿宋_GB2312" w:eastAsia="仿宋_GB2312" w:cs="仿宋_GB2312"/>
          <w:kern w:val="0"/>
          <w:szCs w:val="21"/>
          <w:lang w:val="en-US" w:eastAsia="zh-CN"/>
        </w:rPr>
        <w:t>2026</w:t>
      </w:r>
      <w:r>
        <w:rPr>
          <w:rFonts w:hint="eastAsia" w:ascii="仿宋_GB2312" w:hAnsi="仿宋_GB2312" w:eastAsia="仿宋_GB2312" w:cs="仿宋_GB2312"/>
          <w:kern w:val="0"/>
          <w:szCs w:val="21"/>
        </w:rPr>
        <w:t xml:space="preserve"> 年 </w:t>
      </w:r>
      <w:r>
        <w:rPr>
          <w:rFonts w:hint="eastAsia" w:ascii="仿宋_GB2312" w:hAnsi="仿宋_GB2312" w:eastAsia="仿宋_GB2312" w:cs="仿宋_GB2312"/>
          <w:kern w:val="0"/>
          <w:szCs w:val="21"/>
          <w:lang w:val="en-US" w:eastAsia="zh-CN"/>
        </w:rPr>
        <w:t>06</w:t>
      </w:r>
      <w:r>
        <w:rPr>
          <w:rFonts w:hint="eastAsia" w:ascii="仿宋_GB2312" w:hAnsi="仿宋_GB2312" w:eastAsia="仿宋_GB2312" w:cs="仿宋_GB2312"/>
          <w:kern w:val="0"/>
          <w:szCs w:val="21"/>
        </w:rPr>
        <w:t xml:space="preserve">  月  </w:t>
      </w:r>
      <w:r>
        <w:rPr>
          <w:rFonts w:hint="eastAsia" w:ascii="仿宋_GB2312" w:hAnsi="仿宋_GB2312" w:eastAsia="仿宋_GB2312" w:cs="仿宋_GB2312"/>
          <w:kern w:val="0"/>
          <w:szCs w:val="21"/>
          <w:lang w:val="en-US" w:eastAsia="zh-CN"/>
        </w:rPr>
        <w:t>15</w:t>
      </w:r>
      <w:r>
        <w:rPr>
          <w:rFonts w:hint="eastAsia" w:ascii="仿宋_GB2312" w:hAnsi="仿宋_GB2312" w:eastAsia="仿宋_GB2312" w:cs="仿宋_GB2312"/>
          <w:kern w:val="0"/>
          <w:szCs w:val="21"/>
        </w:rPr>
        <w:t xml:space="preserve">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8EEF5"/>
    <w:multiLevelType w:val="singleLevel"/>
    <w:tmpl w:val="80E8EEF5"/>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28771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2026-06-15T06:38:43Z</dcterms:created>
  <dc:creator>xiaod</dc:creator>
  <cp:lastModifiedBy>黄惠东</cp:lastModifiedBy>
  <dcterms:modified xsi:type="dcterms:W3CDTF">2026-06-15T06:39:17Z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eyJoZGlkIjoiYmQzMzg1YmEyMWYyOTA4NTIxNTE5ZGY3ZmQ0NjU2ZmMiLCJ1c2VySWQiOiIxNTgyODExNDczIn0=</vt:lpwstr>
  </property>
  <property fmtid="{D5CDD505-2E9C-101B-9397-08002B2CF9AE}" pid="4" name="ICV">
    <vt:lpwstr>12ED630E83A34CDA99E16F67133AF69A_12</vt:lpwstr>
  </property>
</Properties>
</file>